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648D" w:rsidRDefault="00B9648D" w:rsidP="00B9648D">
      <w:pPr>
        <w:jc w:val="both"/>
        <w:rPr>
          <w:sz w:val="22"/>
          <w:szCs w:val="22"/>
          <w:lang w:val="en-GB"/>
        </w:rPr>
      </w:pPr>
      <w:r>
        <w:rPr>
          <w:sz w:val="22"/>
          <w:szCs w:val="22"/>
          <w:lang w:val="en-GB"/>
        </w:rPr>
        <w:t xml:space="preserve">                                                                                                                     </w:t>
      </w:r>
      <w:r w:rsidRPr="00AA1AB4">
        <w:rPr>
          <w:noProof/>
          <w:sz w:val="22"/>
          <w:szCs w:val="22"/>
          <w:lang w:val="en-US" w:eastAsia="en-US"/>
        </w:rPr>
        <w:drawing>
          <wp:inline distT="0" distB="0" distL="0" distR="0">
            <wp:extent cx="1428750" cy="1666875"/>
            <wp:effectExtent l="0" t="0" r="0" b="9525"/>
            <wp:docPr id="1" name="Picture 1" descr="C:\Users\melokaby\Desktop\66280857_345613312800352_1395816439364976640_n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lokaby\Desktop\66280857_345613312800352_1395816439364976640_n (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28750" cy="1666875"/>
                    </a:xfrm>
                    <a:prstGeom prst="rect">
                      <a:avLst/>
                    </a:prstGeom>
                    <a:noFill/>
                    <a:ln>
                      <a:noFill/>
                    </a:ln>
                  </pic:spPr>
                </pic:pic>
              </a:graphicData>
            </a:graphic>
          </wp:inline>
        </w:drawing>
      </w:r>
      <w:r>
        <w:rPr>
          <w:sz w:val="22"/>
          <w:szCs w:val="22"/>
          <w:lang w:val="en-GB"/>
        </w:rPr>
        <w:t xml:space="preserve"> </w:t>
      </w:r>
    </w:p>
    <w:p w:rsidR="00244C06" w:rsidRDefault="00244C06" w:rsidP="00B9648D">
      <w:pPr>
        <w:jc w:val="both"/>
        <w:rPr>
          <w:sz w:val="22"/>
          <w:szCs w:val="22"/>
          <w:lang w:val="en-GB"/>
        </w:rPr>
      </w:pPr>
    </w:p>
    <w:p w:rsidR="00244C06" w:rsidRDefault="00244C06" w:rsidP="00B9648D">
      <w:pPr>
        <w:jc w:val="center"/>
        <w:rPr>
          <w:rFonts w:eastAsia="MS PGothic" w:hAnsi="Arial"/>
          <w:color w:val="000000"/>
        </w:rPr>
      </w:pPr>
      <w:r w:rsidRPr="00244C06">
        <w:rPr>
          <w:sz w:val="22"/>
          <w:szCs w:val="22"/>
          <w:lang w:val="en-GB"/>
        </w:rPr>
        <w:t xml:space="preserve">SH2-containing tyrosine phosphatase-1 (SHP-1) mRNA expression &amp; its promoter methylation in </w:t>
      </w:r>
      <w:proofErr w:type="spellStart"/>
      <w:r w:rsidRPr="00244C06">
        <w:rPr>
          <w:sz w:val="22"/>
          <w:szCs w:val="22"/>
          <w:lang w:val="en-GB"/>
        </w:rPr>
        <w:t>imatinib</w:t>
      </w:r>
      <w:proofErr w:type="spellEnd"/>
      <w:r w:rsidRPr="00244C06">
        <w:rPr>
          <w:sz w:val="22"/>
          <w:szCs w:val="22"/>
          <w:lang w:val="en-GB"/>
        </w:rPr>
        <w:t xml:space="preserve"> response in Egyptian chronic myeloid </w:t>
      </w:r>
      <w:proofErr w:type="spellStart"/>
      <w:r w:rsidRPr="00244C06">
        <w:rPr>
          <w:sz w:val="22"/>
          <w:szCs w:val="22"/>
          <w:lang w:val="en-GB"/>
        </w:rPr>
        <w:t>leukemia</w:t>
      </w:r>
      <w:proofErr w:type="spellEnd"/>
      <w:r w:rsidRPr="00244C06">
        <w:rPr>
          <w:sz w:val="22"/>
          <w:szCs w:val="22"/>
          <w:lang w:val="en-GB"/>
        </w:rPr>
        <w:t xml:space="preserve"> patients</w:t>
      </w:r>
    </w:p>
    <w:p w:rsidR="00B9648D" w:rsidRDefault="00B9648D" w:rsidP="00B9648D">
      <w:pPr>
        <w:jc w:val="cente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 Nohaelkoney</w:t>
      </w:r>
    </w:p>
    <w:p w:rsidR="00B9648D" w:rsidRDefault="00B9648D" w:rsidP="00B9648D">
      <w:pPr>
        <w:jc w:val="center"/>
        <w:rPr>
          <w:rFonts w:eastAsia="MS PGothic" w:hAnsi="Arial"/>
          <w:color w:val="000000"/>
        </w:rPr>
      </w:pPr>
      <w:r>
        <w:rPr>
          <w:rFonts w:eastAsia="MS PGothic" w:hAnsi="Arial"/>
          <w:color w:val="000000"/>
        </w:rPr>
        <w:t>Alexandria University</w:t>
      </w:r>
      <w:r w:rsidR="00F04AF2">
        <w:rPr>
          <w:rFonts w:eastAsia="MS PGothic" w:hAnsi="Arial"/>
          <w:color w:val="000000"/>
        </w:rPr>
        <w:t>, faculty</w:t>
      </w:r>
      <w:r>
        <w:rPr>
          <w:rFonts w:eastAsia="MS PGothic" w:hAnsi="Arial"/>
          <w:color w:val="000000"/>
        </w:rPr>
        <w:t xml:space="preserve"> of Medicine, Egypt</w:t>
      </w:r>
    </w:p>
    <w:p w:rsidR="00A61B52" w:rsidRDefault="00A61B52" w:rsidP="00244C06">
      <w:pPr>
        <w:jc w:val="mediumKashida"/>
        <w:rPr>
          <w:rFonts w:eastAsia="MS PGothic" w:hAnsi="Arial"/>
          <w:color w:val="000000"/>
        </w:rPr>
      </w:pPr>
    </w:p>
    <w:p w:rsidR="00244C06" w:rsidRPr="00244C06" w:rsidRDefault="00244C06" w:rsidP="00244C06">
      <w:pPr>
        <w:jc w:val="mediumKashida"/>
        <w:rPr>
          <w:color w:val="000000"/>
          <w:lang w:val="en-US"/>
        </w:rPr>
      </w:pPr>
      <w:r w:rsidRPr="00244C06">
        <w:rPr>
          <w:color w:val="000000"/>
          <w:lang w:val="en-US"/>
        </w:rPr>
        <w:t xml:space="preserve">Chronic myeloid leukemia; (CML) is the most common hematological malignancy worldwide. Treatment of CML patients with </w:t>
      </w:r>
      <w:proofErr w:type="spellStart"/>
      <w:r w:rsidRPr="00244C06">
        <w:rPr>
          <w:color w:val="000000"/>
          <w:lang w:val="en-US"/>
        </w:rPr>
        <w:t>imatinib</w:t>
      </w:r>
      <w:proofErr w:type="spellEnd"/>
      <w:r w:rsidRPr="00244C06">
        <w:rPr>
          <w:color w:val="000000"/>
          <w:lang w:val="en-US"/>
        </w:rPr>
        <w:t xml:space="preserve">; has greatly improved the prognosis of the disease so </w:t>
      </w:r>
      <w:proofErr w:type="spellStart"/>
      <w:r w:rsidRPr="00244C06">
        <w:rPr>
          <w:color w:val="000000"/>
          <w:lang w:val="en-US"/>
        </w:rPr>
        <w:t>imatinib</w:t>
      </w:r>
      <w:proofErr w:type="spellEnd"/>
      <w:r w:rsidRPr="00244C06">
        <w:rPr>
          <w:color w:val="000000"/>
          <w:lang w:val="en-US"/>
        </w:rPr>
        <w:t xml:space="preserve"> is now considered as a cornerstone therapy. However, resistance against </w:t>
      </w:r>
      <w:proofErr w:type="spellStart"/>
      <w:r w:rsidRPr="00244C06">
        <w:rPr>
          <w:color w:val="000000"/>
          <w:lang w:val="en-US"/>
        </w:rPr>
        <w:t>imatinib</w:t>
      </w:r>
      <w:proofErr w:type="spellEnd"/>
      <w:r w:rsidRPr="00244C06">
        <w:rPr>
          <w:color w:val="000000"/>
          <w:lang w:val="en-US"/>
        </w:rPr>
        <w:t xml:space="preserve"> has been developed. It is important to determine different causes of </w:t>
      </w:r>
      <w:proofErr w:type="spellStart"/>
      <w:r w:rsidRPr="00244C06">
        <w:rPr>
          <w:color w:val="000000"/>
          <w:lang w:val="en-US"/>
        </w:rPr>
        <w:t>imatinib</w:t>
      </w:r>
      <w:proofErr w:type="spellEnd"/>
      <w:r w:rsidRPr="00244C06">
        <w:rPr>
          <w:color w:val="000000"/>
          <w:lang w:val="en-US"/>
        </w:rPr>
        <w:t xml:space="preserve"> resistance to overcome it. Current work is designated to </w:t>
      </w:r>
      <w:r w:rsidRPr="00244C06">
        <w:rPr>
          <w:color w:val="000000"/>
          <w:lang w:val="en-GB"/>
        </w:rPr>
        <w:t xml:space="preserve">study the role of SH2-containing tyrosine phosphatase-1 (SHP-1); mRNA expression &amp; its promoter methylation in </w:t>
      </w:r>
      <w:proofErr w:type="spellStart"/>
      <w:r w:rsidRPr="00244C06">
        <w:rPr>
          <w:color w:val="000000"/>
          <w:lang w:val="en-GB"/>
        </w:rPr>
        <w:t>imatinib</w:t>
      </w:r>
      <w:proofErr w:type="spellEnd"/>
      <w:r w:rsidRPr="00244C06">
        <w:rPr>
          <w:color w:val="000000"/>
          <w:lang w:val="en-GB"/>
        </w:rPr>
        <w:t xml:space="preserve"> response in Egyptian CML patients. 50 people divided into resistant, responder and control groups were included in the study.</w:t>
      </w:r>
      <w:r w:rsidRPr="00244C06">
        <w:rPr>
          <w:color w:val="000000"/>
          <w:lang w:val="en-US"/>
        </w:rPr>
        <w:t xml:space="preserve"> Determination of expression level of SHP-1 was done using mRNA quantitative reverse transcriptase polymerase chain reaction using </w:t>
      </w:r>
      <w:proofErr w:type="spellStart"/>
      <w:r w:rsidRPr="00244C06">
        <w:rPr>
          <w:color w:val="000000"/>
          <w:lang w:val="en-US"/>
        </w:rPr>
        <w:t>taqman</w:t>
      </w:r>
      <w:proofErr w:type="spellEnd"/>
      <w:r w:rsidRPr="00244C06">
        <w:rPr>
          <w:color w:val="000000"/>
          <w:lang w:val="en-US"/>
        </w:rPr>
        <w:t xml:space="preserve"> assay. Determination of promoter methylation; of SHP-1 was done by methylation-specific polymerase chain reaction. Descriptive, analytical and ROC curve analysis</w:t>
      </w:r>
      <w:r>
        <w:rPr>
          <w:color w:val="000000"/>
          <w:lang w:val="en-US"/>
        </w:rPr>
        <w:t xml:space="preserve"> were used in this study. </w:t>
      </w:r>
      <w:r w:rsidRPr="00244C06">
        <w:rPr>
          <w:color w:val="000000"/>
          <w:lang w:val="en-US"/>
        </w:rPr>
        <w:t xml:space="preserve">It was found that SHP-1 mRNA expression level was significantly higher in the responder group than the resistant group and significantly higher in the control group than the resistant group but no significant difference was found between responder group and control group. Also, there was a significant difference between resistant group and responder group regarding methylation state of SHP-1 gene. Furthermore, SHP-1 mRNA level was more sensitive biomarker in predicting </w:t>
      </w:r>
      <w:proofErr w:type="spellStart"/>
      <w:r w:rsidRPr="00244C06">
        <w:rPr>
          <w:color w:val="000000"/>
          <w:lang w:val="en-US"/>
        </w:rPr>
        <w:t>imatinib</w:t>
      </w:r>
      <w:proofErr w:type="spellEnd"/>
      <w:r w:rsidRPr="00244C06">
        <w:rPr>
          <w:color w:val="000000"/>
          <w:lang w:val="en-US"/>
        </w:rPr>
        <w:t xml:space="preserve"> response than SHP-1 methylation state. When combined together, SHP-1 mRNA and its methylation state showed better specificity but less sensitivity. Therefore, combined both SHP-1 mRNA and its methylation state can be used as biomarker for predicting response to </w:t>
      </w:r>
      <w:proofErr w:type="spellStart"/>
      <w:r w:rsidRPr="00244C06">
        <w:rPr>
          <w:color w:val="000000"/>
          <w:lang w:val="en-US"/>
        </w:rPr>
        <w:t>imatinib</w:t>
      </w:r>
      <w:proofErr w:type="spellEnd"/>
      <w:r w:rsidRPr="00244C06">
        <w:rPr>
          <w:color w:val="000000"/>
          <w:lang w:val="en-US"/>
        </w:rPr>
        <w:t xml:space="preserve"> among CML patients. </w:t>
      </w:r>
    </w:p>
    <w:p w:rsidR="00B9648D" w:rsidRPr="00A61B52" w:rsidRDefault="00B9648D" w:rsidP="00B9648D">
      <w:pPr>
        <w:jc w:val="center"/>
        <w:rPr>
          <w:rFonts w:eastAsia="Batang"/>
          <w:color w:val="0000FF"/>
          <w:sz w:val="36"/>
          <w:szCs w:val="36"/>
          <w:lang w:val="en-US"/>
        </w:rPr>
      </w:pPr>
    </w:p>
    <w:p w:rsidR="00B9648D" w:rsidRDefault="00B9648D" w:rsidP="00B9648D">
      <w:pPr>
        <w:jc w:val="both"/>
        <w:rPr>
          <w:b/>
        </w:rPr>
      </w:pPr>
      <w:r>
        <w:rPr>
          <w:b/>
        </w:rPr>
        <w:t>Biography</w:t>
      </w:r>
    </w:p>
    <w:p w:rsidR="00B9648D" w:rsidRPr="00A41107" w:rsidRDefault="00B9648D" w:rsidP="00B9648D">
      <w:pPr>
        <w:jc w:val="both"/>
        <w:rPr>
          <w:rFonts w:eastAsia="MS PGothic"/>
          <w:b/>
          <w:color w:val="000000"/>
          <w:szCs w:val="32"/>
        </w:rPr>
      </w:pPr>
      <w:r>
        <w:t>Noha</w:t>
      </w:r>
      <w:r w:rsidR="00F04AF2">
        <w:t xml:space="preserve"> salah</w:t>
      </w:r>
      <w:r>
        <w:t xml:space="preserve"> elkoney has completed her </w:t>
      </w:r>
      <w:r w:rsidRPr="000207A8">
        <w:t>Bachelor's Degree</w:t>
      </w:r>
      <w:r>
        <w:t xml:space="preserve"> in medicine and surgery at the age of 23 years from alexandria University. She is now working as a demonestrator in biochemistry department in alexandria faculty of medicine. She </w:t>
      </w:r>
      <w:r w:rsidR="00500DDA">
        <w:t>h</w:t>
      </w:r>
      <w:bookmarkStart w:id="0" w:name="_GoBack"/>
      <w:bookmarkEnd w:id="0"/>
      <w:r w:rsidR="00500DDA">
        <w:t xml:space="preserve">as </w:t>
      </w:r>
      <w:r>
        <w:t>started her master since three year</w:t>
      </w:r>
      <w:r w:rsidR="00F04AF2">
        <w:t>s and she is about to finish it</w:t>
      </w:r>
      <w:r>
        <w:t>.</w:t>
      </w:r>
      <w:r w:rsidR="00F04AF2">
        <w:t xml:space="preserve"> </w:t>
      </w:r>
      <w:r>
        <w:t xml:space="preserve">  </w:t>
      </w:r>
    </w:p>
    <w:p w:rsidR="00B9648D" w:rsidRDefault="00B9648D" w:rsidP="00B9648D">
      <w:pPr>
        <w:autoSpaceDE w:val="0"/>
        <w:autoSpaceDN w:val="0"/>
        <w:adjustRightInd w:val="0"/>
        <w:rPr>
          <w:b/>
          <w:lang w:val="en-NZ"/>
        </w:rPr>
      </w:pPr>
    </w:p>
    <w:p w:rsidR="00B9648D" w:rsidRPr="008A690F" w:rsidRDefault="00B9648D" w:rsidP="00B9648D">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Noha</w:t>
      </w:r>
      <w:proofErr w:type="spellEnd"/>
      <w:r>
        <w:rPr>
          <w:lang w:val="en-NZ"/>
        </w:rPr>
        <w:t xml:space="preserve"> </w:t>
      </w:r>
      <w:proofErr w:type="spellStart"/>
      <w:r>
        <w:rPr>
          <w:lang w:val="en-NZ"/>
        </w:rPr>
        <w:t>salah</w:t>
      </w:r>
      <w:proofErr w:type="spellEnd"/>
      <w:r>
        <w:rPr>
          <w:lang w:val="en-NZ"/>
        </w:rPr>
        <w:t xml:space="preserve"> </w:t>
      </w:r>
      <w:proofErr w:type="spellStart"/>
      <w:r>
        <w:rPr>
          <w:lang w:val="en-NZ"/>
        </w:rPr>
        <w:t>eldin</w:t>
      </w:r>
      <w:proofErr w:type="spellEnd"/>
      <w:r>
        <w:rPr>
          <w:lang w:val="en-NZ"/>
        </w:rPr>
        <w:t xml:space="preserve"> </w:t>
      </w:r>
      <w:proofErr w:type="spellStart"/>
      <w:r>
        <w:rPr>
          <w:lang w:val="en-NZ"/>
        </w:rPr>
        <w:t>elkoney</w:t>
      </w:r>
      <w:proofErr w:type="spellEnd"/>
      <w:r w:rsidRPr="008A690F">
        <w:rPr>
          <w:lang w:val="en-NZ"/>
        </w:rPr>
        <w:br/>
        <w:t>Contact number:</w:t>
      </w:r>
      <w:r>
        <w:rPr>
          <w:lang w:val="en-NZ"/>
        </w:rPr>
        <w:t xml:space="preserve"> 01090657177</w:t>
      </w:r>
    </w:p>
    <w:p w:rsidR="00B9648D" w:rsidRDefault="00B9648D" w:rsidP="00B9648D">
      <w:pPr>
        <w:autoSpaceDE w:val="0"/>
        <w:autoSpaceDN w:val="0"/>
        <w:adjustRightInd w:val="0"/>
        <w:rPr>
          <w:lang w:val="en-NZ"/>
        </w:rPr>
      </w:pPr>
      <w:r w:rsidRPr="008A690F">
        <w:rPr>
          <w:lang w:val="en-NZ"/>
        </w:rPr>
        <w:t>Category: Poster presentation</w:t>
      </w:r>
      <w:r>
        <w:rPr>
          <w:lang w:val="en-NZ"/>
        </w:rPr>
        <w:br/>
      </w:r>
    </w:p>
    <w:p w:rsidR="00B9648D" w:rsidRDefault="00B9648D" w:rsidP="00B9648D">
      <w:pPr>
        <w:autoSpaceDE w:val="0"/>
        <w:autoSpaceDN w:val="0"/>
        <w:adjustRightInd w:val="0"/>
        <w:rPr>
          <w:lang w:val="en-NZ"/>
        </w:rPr>
      </w:pPr>
    </w:p>
    <w:p w:rsidR="00B9648D" w:rsidRDefault="00B9648D" w:rsidP="00B9648D">
      <w:pPr>
        <w:autoSpaceDE w:val="0"/>
        <w:autoSpaceDN w:val="0"/>
        <w:adjustRightInd w:val="0"/>
        <w:rPr>
          <w:lang w:val="en-NZ"/>
        </w:rPr>
      </w:pPr>
    </w:p>
    <w:p w:rsidR="00B9648D" w:rsidRDefault="00B9648D" w:rsidP="00B9648D">
      <w:pPr>
        <w:autoSpaceDE w:val="0"/>
        <w:autoSpaceDN w:val="0"/>
        <w:adjustRightInd w:val="0"/>
        <w:rPr>
          <w:lang w:val="en-NZ"/>
        </w:rPr>
      </w:pPr>
    </w:p>
    <w:p w:rsidR="00B9648D" w:rsidRDefault="00B9648D" w:rsidP="00B9648D">
      <w:pPr>
        <w:autoSpaceDE w:val="0"/>
        <w:autoSpaceDN w:val="0"/>
        <w:adjustRightInd w:val="0"/>
        <w:rPr>
          <w:lang w:val="en-NZ"/>
        </w:rPr>
      </w:pPr>
    </w:p>
    <w:p w:rsidR="00B9648D" w:rsidRDefault="00B9648D" w:rsidP="00B9648D">
      <w:pPr>
        <w:autoSpaceDE w:val="0"/>
        <w:autoSpaceDN w:val="0"/>
        <w:adjustRightInd w:val="0"/>
        <w:rPr>
          <w:lang w:val="en-NZ"/>
        </w:rPr>
      </w:pPr>
    </w:p>
    <w:p w:rsidR="00B9648D" w:rsidRDefault="00B9648D" w:rsidP="00B9648D">
      <w:pPr>
        <w:autoSpaceDE w:val="0"/>
        <w:autoSpaceDN w:val="0"/>
        <w:adjustRightInd w:val="0"/>
        <w:rPr>
          <w:lang w:val="en-NZ"/>
        </w:rPr>
      </w:pPr>
    </w:p>
    <w:p w:rsidR="00B9648D" w:rsidRPr="00B9648D" w:rsidRDefault="00B9648D" w:rsidP="00B9648D">
      <w:pPr>
        <w:jc w:val="both"/>
        <w:rPr>
          <w:lang w:val="en-US"/>
        </w:rPr>
      </w:pPr>
    </w:p>
    <w:p w:rsidR="005422FE" w:rsidRDefault="005422FE"/>
    <w:sectPr w:rsidR="005422FE" w:rsidSect="001F414A">
      <w:headerReference w:type="even" r:id="rId7"/>
      <w:headerReference w:type="default" r:id="rId8"/>
      <w:footerReference w:type="even" r:id="rId9"/>
      <w:footerReference w:type="default" r:id="rId10"/>
      <w:headerReference w:type="first" r:id="rId11"/>
      <w:footerReference w:type="first" r:id="rId12"/>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7EDA" w:rsidRDefault="00E17EDA">
      <w:r>
        <w:separator/>
      </w:r>
    </w:p>
  </w:endnote>
  <w:endnote w:type="continuationSeparator" w:id="0">
    <w:p w:rsidR="00E17EDA" w:rsidRDefault="00E17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Gautami">
    <w:panose1 w:val="020B0502040204020203"/>
    <w:charset w:val="01"/>
    <w:family w:val="roman"/>
    <w:notTrueType/>
    <w:pitch w:val="variable"/>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E17E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E17ED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E17E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7EDA" w:rsidRDefault="00E17EDA">
      <w:r>
        <w:separator/>
      </w:r>
    </w:p>
  </w:footnote>
  <w:footnote w:type="continuationSeparator" w:id="0">
    <w:p w:rsidR="00E17EDA" w:rsidRDefault="00E17E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E17EDA">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E17ED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E17E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6C6"/>
    <w:rsid w:val="001063C1"/>
    <w:rsid w:val="001126C6"/>
    <w:rsid w:val="00171219"/>
    <w:rsid w:val="001849C8"/>
    <w:rsid w:val="00244C06"/>
    <w:rsid w:val="00333C8B"/>
    <w:rsid w:val="00500DDA"/>
    <w:rsid w:val="005422FE"/>
    <w:rsid w:val="006A35AB"/>
    <w:rsid w:val="006E6D9C"/>
    <w:rsid w:val="009F4A0A"/>
    <w:rsid w:val="00A61B52"/>
    <w:rsid w:val="00B9648D"/>
    <w:rsid w:val="00BD2A6C"/>
    <w:rsid w:val="00BF20A7"/>
    <w:rsid w:val="00C14354"/>
    <w:rsid w:val="00CB2BB9"/>
    <w:rsid w:val="00CF60B6"/>
    <w:rsid w:val="00D76344"/>
    <w:rsid w:val="00E17EDA"/>
    <w:rsid w:val="00F04AF2"/>
    <w:rsid w:val="00FF52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291D31-9082-4004-9C7F-287C5BE22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648D"/>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648D"/>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B9648D"/>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B9648D"/>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B9648D"/>
    <w:rPr>
      <w:rFonts w:ascii="Times New Roman" w:eastAsia="Times New Roman" w:hAnsi="Times New Roman" w:cs="Gautami"/>
      <w:sz w:val="24"/>
      <w:szCs w:val="24"/>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7925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380</Words>
  <Characters>2171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melokaby</dc:creator>
  <cp:keywords/>
  <dc:description/>
  <cp:lastModifiedBy>melokaby</cp:lastModifiedBy>
  <cp:revision>5</cp:revision>
  <dcterms:created xsi:type="dcterms:W3CDTF">2019-07-09T18:09:00Z</dcterms:created>
  <dcterms:modified xsi:type="dcterms:W3CDTF">2019-07-09T21:23:00Z</dcterms:modified>
</cp:coreProperties>
</file>