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8E894" w14:textId="77777777" w:rsidR="00C57A56" w:rsidRPr="000C2EBE" w:rsidRDefault="0041780F" w:rsidP="002412D0">
      <w:pPr>
        <w:jc w:val="both"/>
        <w:rPr>
          <w:rFonts w:ascii="Times" w:hAnsi="Times" w:cs="Arial"/>
          <w:sz w:val="22"/>
          <w:szCs w:val="22"/>
        </w:rPr>
      </w:pPr>
      <w:r w:rsidRPr="000C2EBE">
        <w:rPr>
          <w:rFonts w:ascii="Times" w:hAnsi="Times" w:cs="Arial"/>
          <w:sz w:val="22"/>
          <w:szCs w:val="22"/>
        </w:rPr>
        <w:t>Paroxysmal Nocturnal Hemoglobinuria in a young Filipino female</w:t>
      </w:r>
    </w:p>
    <w:p w14:paraId="211F4112" w14:textId="77777777" w:rsidR="007661F2" w:rsidRPr="000C2EBE" w:rsidRDefault="007661F2" w:rsidP="002412D0">
      <w:pPr>
        <w:jc w:val="both"/>
        <w:rPr>
          <w:rFonts w:ascii="Times" w:hAnsi="Times" w:cs="Arial"/>
          <w:sz w:val="22"/>
          <w:szCs w:val="22"/>
        </w:rPr>
      </w:pPr>
    </w:p>
    <w:p w14:paraId="47101812"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Diana Colleen Dimayuga, MD, Evan Vista</w:t>
      </w:r>
    </w:p>
    <w:p w14:paraId="4F783DC9"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St. Luke’s Medical Center Global City, Philippines</w:t>
      </w:r>
    </w:p>
    <w:p w14:paraId="52E71A4A"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Department of Internal Medicine</w:t>
      </w:r>
    </w:p>
    <w:p w14:paraId="06E873A9" w14:textId="77777777" w:rsidR="007661F2" w:rsidRPr="000C2EBE" w:rsidRDefault="007661F2" w:rsidP="002412D0">
      <w:pPr>
        <w:jc w:val="both"/>
        <w:rPr>
          <w:rFonts w:ascii="Times" w:hAnsi="Times" w:cs="Arial"/>
          <w:sz w:val="22"/>
          <w:szCs w:val="22"/>
        </w:rPr>
      </w:pPr>
    </w:p>
    <w:p w14:paraId="36FBCBBE" w14:textId="0B823DB2" w:rsidR="000C2EBE" w:rsidRPr="000C2EBE" w:rsidRDefault="00881A66" w:rsidP="002412D0">
      <w:pPr>
        <w:jc w:val="both"/>
        <w:rPr>
          <w:rFonts w:ascii="Times" w:eastAsia="Times New Roman" w:hAnsi="Times" w:cs="Arial"/>
          <w:sz w:val="22"/>
          <w:szCs w:val="22"/>
        </w:rPr>
      </w:pPr>
      <w:r w:rsidRPr="00881A66">
        <w:rPr>
          <w:rFonts w:ascii="Times" w:eastAsia="Times New Roman" w:hAnsi="Times" w:cs="Arial"/>
          <w:color w:val="000000"/>
          <w:sz w:val="22"/>
          <w:szCs w:val="22"/>
          <w:shd w:val="clear" w:color="auto" w:fill="FFFFFF"/>
        </w:rPr>
        <w:t>Paroxysmal nocturnal</w:t>
      </w:r>
      <w:r w:rsidR="000C2EBE">
        <w:rPr>
          <w:rFonts w:ascii="Times" w:eastAsia="Times New Roman" w:hAnsi="Times" w:cs="Arial"/>
          <w:color w:val="000000"/>
          <w:sz w:val="22"/>
          <w:szCs w:val="22"/>
          <w:shd w:val="clear" w:color="auto" w:fill="FFFFFF"/>
        </w:rPr>
        <w:t xml:space="preserve"> hemoglobinuria (PNH), a rare benign </w:t>
      </w:r>
      <w:r w:rsidRPr="00881A66">
        <w:rPr>
          <w:rFonts w:ascii="Times" w:eastAsia="Times New Roman" w:hAnsi="Times" w:cs="Arial"/>
          <w:color w:val="000000"/>
          <w:sz w:val="22"/>
          <w:szCs w:val="22"/>
          <w:shd w:val="clear" w:color="auto" w:fill="FFFFFF"/>
        </w:rPr>
        <w:t>disorder of the hematopoie</w:t>
      </w:r>
      <w:r w:rsidR="000C2EBE">
        <w:rPr>
          <w:rFonts w:ascii="Times" w:eastAsia="Times New Roman" w:hAnsi="Times" w:cs="Arial"/>
          <w:color w:val="000000"/>
          <w:sz w:val="22"/>
          <w:szCs w:val="22"/>
          <w:shd w:val="clear" w:color="auto" w:fill="FFFFFF"/>
        </w:rPr>
        <w:t>tic stem cells, is</w:t>
      </w:r>
      <w:r w:rsidRPr="00881A66">
        <w:rPr>
          <w:rFonts w:ascii="Times" w:eastAsia="Times New Roman" w:hAnsi="Times" w:cs="Arial"/>
          <w:color w:val="000000"/>
          <w:sz w:val="22"/>
          <w:szCs w:val="22"/>
          <w:shd w:val="clear" w:color="auto" w:fill="FFFFFF"/>
        </w:rPr>
        <w:t xml:space="preserve"> often underdiagnosed. </w:t>
      </w:r>
      <w:r w:rsidR="000C2EBE">
        <w:rPr>
          <w:rFonts w:ascii="Times" w:eastAsia="Times New Roman" w:hAnsi="Times" w:cs="Arial"/>
          <w:color w:val="000000"/>
          <w:sz w:val="22"/>
          <w:szCs w:val="22"/>
          <w:shd w:val="clear" w:color="auto" w:fill="FFFFFF"/>
        </w:rPr>
        <w:t xml:space="preserve">The incidence </w:t>
      </w:r>
      <w:r w:rsidRPr="00881A66">
        <w:rPr>
          <w:rFonts w:ascii="Times" w:eastAsia="Times New Roman" w:hAnsi="Times" w:cs="Arial"/>
          <w:color w:val="000000"/>
          <w:sz w:val="22"/>
          <w:szCs w:val="22"/>
          <w:shd w:val="clear" w:color="auto" w:fill="FFFFFF"/>
        </w:rPr>
        <w:t>is about 5 cases per mil</w:t>
      </w:r>
      <w:r w:rsidR="000C2EBE">
        <w:rPr>
          <w:rFonts w:ascii="Times" w:eastAsia="Times New Roman" w:hAnsi="Times" w:cs="Arial"/>
          <w:color w:val="000000"/>
          <w:sz w:val="22"/>
          <w:szCs w:val="22"/>
          <w:shd w:val="clear" w:color="auto" w:fill="FFFFFF"/>
        </w:rPr>
        <w:t>lion inhabitants in a year. T</w:t>
      </w:r>
      <w:r w:rsidRPr="00881A66">
        <w:rPr>
          <w:rFonts w:ascii="Times" w:eastAsia="Times New Roman" w:hAnsi="Times" w:cs="Arial"/>
          <w:color w:val="000000"/>
          <w:sz w:val="22"/>
          <w:szCs w:val="22"/>
          <w:shd w:val="clear" w:color="auto" w:fill="FFFFFF"/>
        </w:rPr>
        <w:t>he</w:t>
      </w:r>
      <w:r w:rsidR="000C2EBE">
        <w:rPr>
          <w:rFonts w:ascii="Times" w:eastAsia="Times New Roman" w:hAnsi="Times" w:cs="Arial"/>
          <w:color w:val="000000"/>
          <w:sz w:val="22"/>
          <w:szCs w:val="22"/>
          <w:shd w:val="clear" w:color="auto" w:fill="FFFFFF"/>
        </w:rPr>
        <w:t>re are only 1610 patients reported in the</w:t>
      </w:r>
      <w:r w:rsidRPr="00881A66">
        <w:rPr>
          <w:rFonts w:ascii="Times" w:eastAsia="Times New Roman" w:hAnsi="Times" w:cs="Arial"/>
          <w:color w:val="000000"/>
          <w:sz w:val="22"/>
          <w:szCs w:val="22"/>
          <w:shd w:val="clear" w:color="auto" w:fill="FFFFFF"/>
        </w:rPr>
        <w:t xml:space="preserve"> International PNH Registry</w:t>
      </w:r>
      <w:r w:rsidR="000C2EBE">
        <w:rPr>
          <w:rFonts w:ascii="Times" w:eastAsia="Times New Roman" w:hAnsi="Times" w:cs="Arial"/>
          <w:color w:val="000000"/>
          <w:sz w:val="22"/>
          <w:szCs w:val="22"/>
          <w:shd w:val="clear" w:color="auto" w:fill="FFFFFF"/>
        </w:rPr>
        <w:t xml:space="preserve"> to date.</w:t>
      </w:r>
      <w:r w:rsidRPr="000C2EBE">
        <w:rPr>
          <w:rFonts w:ascii="Times" w:eastAsia="Times New Roman" w:hAnsi="Times" w:cs="Arial"/>
          <w:color w:val="000000"/>
          <w:sz w:val="22"/>
          <w:szCs w:val="22"/>
          <w:shd w:val="clear" w:color="auto" w:fill="FFFFFF"/>
        </w:rPr>
        <w:t xml:space="preserve"> In this report, we describe a case of PNH in the Philippines. </w:t>
      </w:r>
      <w:r w:rsidRPr="000C2EBE">
        <w:rPr>
          <w:rFonts w:ascii="Times" w:eastAsia="Times New Roman" w:hAnsi="Times" w:cs="Arial"/>
          <w:i/>
          <w:color w:val="000000"/>
          <w:sz w:val="22"/>
          <w:szCs w:val="22"/>
          <w:shd w:val="clear" w:color="auto" w:fill="FFFFFF"/>
        </w:rPr>
        <w:t>Case Report.</w:t>
      </w:r>
      <w:r w:rsidR="000C2EBE">
        <w:rPr>
          <w:rFonts w:ascii="Times" w:eastAsia="Times New Roman" w:hAnsi="Times" w:cs="Arial"/>
          <w:sz w:val="22"/>
          <w:szCs w:val="22"/>
        </w:rPr>
        <w:t xml:space="preserve"> </w:t>
      </w:r>
      <w:r w:rsidR="007661F2" w:rsidRPr="000C2EBE">
        <w:rPr>
          <w:rFonts w:ascii="Times" w:hAnsi="Times" w:cs="Arial"/>
          <w:sz w:val="22"/>
          <w:szCs w:val="22"/>
        </w:rPr>
        <w:t xml:space="preserve">A 20-year-old Filipino female presented to the emergency department with abdominal pain. </w:t>
      </w:r>
      <w:r w:rsidR="007661F2" w:rsidRPr="000C2EBE">
        <w:rPr>
          <w:rFonts w:ascii="Times" w:hAnsi="Times" w:cs="Arial"/>
          <w:sz w:val="22"/>
          <w:szCs w:val="22"/>
        </w:rPr>
        <w:t xml:space="preserve">No other symptoms were noted. </w:t>
      </w:r>
      <w:r w:rsidR="007661F2" w:rsidRPr="000C2EBE">
        <w:rPr>
          <w:rFonts w:ascii="Times" w:hAnsi="Times" w:cs="Arial"/>
          <w:sz w:val="22"/>
          <w:szCs w:val="22"/>
        </w:rPr>
        <w:t>She was otherwise previously healthy. Family history was unremarkable. During physical exam, she was noted to be pale and have significant epigastric pain. Laboratory tests revealed macrocytic normochromic anemia with mild anisocytosis and increased reticulocytes suspicious for hemolytic anemia. The indirect Coomb’s test was negative, excluding an autoimmune hemolytic anemia. There was a note of indirect hyperbilirubinemia, elevated LDH while PT, PTT were within normal range. An abdominal ultrasound revealed no abnormalities. Eventually, she was referred to a hematologist. Flow cytometry was ordered which showed a PNH clone of 39.63% in RBC, 96.3% in granulocytes and 85.10% in monocytes using the reage</w:t>
      </w:r>
      <w:r w:rsidR="007661F2" w:rsidRPr="000C2EBE">
        <w:rPr>
          <w:rFonts w:ascii="Times" w:hAnsi="Times" w:cs="Arial"/>
          <w:sz w:val="22"/>
          <w:szCs w:val="22"/>
        </w:rPr>
        <w:t>nt FLAER, CD45, CD55 and CD59. Th</w:t>
      </w:r>
      <w:r w:rsidR="007661F2" w:rsidRPr="000C2EBE">
        <w:rPr>
          <w:rFonts w:ascii="Times" w:hAnsi="Times" w:cs="Arial"/>
          <w:sz w:val="22"/>
          <w:szCs w:val="22"/>
        </w:rPr>
        <w:t>ereafter, the diagnosis of PNH was made.</w:t>
      </w:r>
      <w:r w:rsidRPr="000C2EBE">
        <w:rPr>
          <w:rFonts w:ascii="Times" w:hAnsi="Times" w:cs="Arial"/>
          <w:sz w:val="22"/>
          <w:szCs w:val="22"/>
        </w:rPr>
        <w:t xml:space="preserve"> She received blood transfusion and hematinics during admission. </w:t>
      </w:r>
      <w:r w:rsidRPr="000C2EBE">
        <w:rPr>
          <w:rFonts w:ascii="Times" w:hAnsi="Times" w:cs="Arial"/>
          <w:i/>
          <w:sz w:val="22"/>
          <w:szCs w:val="22"/>
        </w:rPr>
        <w:t>Conclusion.</w:t>
      </w:r>
      <w:r w:rsidRPr="000C2EBE">
        <w:rPr>
          <w:rFonts w:ascii="Times" w:hAnsi="Times" w:cs="Arial"/>
          <w:sz w:val="22"/>
          <w:szCs w:val="22"/>
        </w:rPr>
        <w:t xml:space="preserve"> </w:t>
      </w:r>
      <w:r w:rsidR="000C2EBE">
        <w:rPr>
          <w:rFonts w:ascii="Times" w:eastAsia="Times New Roman" w:hAnsi="Times" w:cs="Arial"/>
          <w:sz w:val="22"/>
          <w:szCs w:val="22"/>
        </w:rPr>
        <w:t>T</w:t>
      </w:r>
      <w:r w:rsidR="000C2EBE">
        <w:rPr>
          <w:rFonts w:ascii="Times" w:eastAsia="Times New Roman" w:hAnsi="Times" w:cs="Arial"/>
          <w:color w:val="1C1D1E"/>
          <w:sz w:val="22"/>
          <w:szCs w:val="22"/>
          <w:shd w:val="clear" w:color="auto" w:fill="FFFFFF"/>
        </w:rPr>
        <w:t>his report aims to</w:t>
      </w:r>
      <w:r w:rsidR="000C2EBE" w:rsidRPr="000C2EBE">
        <w:rPr>
          <w:rFonts w:ascii="Times" w:eastAsia="Times New Roman" w:hAnsi="Times" w:cs="Arial"/>
          <w:color w:val="1C1D1E"/>
          <w:sz w:val="22"/>
          <w:szCs w:val="22"/>
          <w:shd w:val="clear" w:color="auto" w:fill="FFFFFF"/>
        </w:rPr>
        <w:t xml:space="preserve"> raise awareness on the combination of unexplained</w:t>
      </w:r>
      <w:r w:rsidR="000C2EBE">
        <w:rPr>
          <w:rFonts w:ascii="Times" w:eastAsia="Times New Roman" w:hAnsi="Times" w:cs="Arial"/>
          <w:color w:val="1C1D1E"/>
          <w:sz w:val="22"/>
          <w:szCs w:val="22"/>
          <w:shd w:val="clear" w:color="auto" w:fill="FFFFFF"/>
        </w:rPr>
        <w:t xml:space="preserve"> abdominal pain,</w:t>
      </w:r>
      <w:r w:rsidR="000C2EBE" w:rsidRPr="000C2EBE">
        <w:rPr>
          <w:rFonts w:ascii="Times" w:eastAsia="Times New Roman" w:hAnsi="Times" w:cs="Arial"/>
          <w:color w:val="1C1D1E"/>
          <w:sz w:val="22"/>
          <w:szCs w:val="22"/>
          <w:shd w:val="clear" w:color="auto" w:fill="FFFFFF"/>
        </w:rPr>
        <w:t xml:space="preserve"> Coombs</w:t>
      </w:r>
      <w:r w:rsidR="000C2EBE" w:rsidRPr="000C2EBE">
        <w:rPr>
          <w:rFonts w:ascii="Calibri" w:eastAsia="Calibri" w:hAnsi="Calibri" w:cs="Calibri"/>
          <w:color w:val="1C1D1E"/>
          <w:sz w:val="22"/>
          <w:szCs w:val="22"/>
          <w:shd w:val="clear" w:color="auto" w:fill="FFFFFF"/>
        </w:rPr>
        <w:t>‐</w:t>
      </w:r>
      <w:r w:rsidR="000C2EBE" w:rsidRPr="000C2EBE">
        <w:rPr>
          <w:rFonts w:ascii="Times" w:eastAsia="Times New Roman" w:hAnsi="Times" w:cs="Arial"/>
          <w:color w:val="1C1D1E"/>
          <w:sz w:val="22"/>
          <w:szCs w:val="22"/>
          <w:shd w:val="clear" w:color="auto" w:fill="FFFFFF"/>
        </w:rPr>
        <w:t xml:space="preserve">negative hemolytic </w:t>
      </w:r>
      <w:r w:rsidR="000C2EBE">
        <w:rPr>
          <w:rFonts w:ascii="Times" w:eastAsia="Times New Roman" w:hAnsi="Times" w:cs="Arial"/>
          <w:color w:val="1C1D1E"/>
          <w:sz w:val="22"/>
          <w:szCs w:val="22"/>
          <w:shd w:val="clear" w:color="auto" w:fill="FFFFFF"/>
        </w:rPr>
        <w:t>anemia, indirect hemoglubinuria and</w:t>
      </w:r>
      <w:r w:rsidR="000C2EBE" w:rsidRPr="000C2EBE">
        <w:rPr>
          <w:rFonts w:ascii="Times" w:eastAsia="Times New Roman" w:hAnsi="Times" w:cs="Arial"/>
          <w:color w:val="1C1D1E"/>
          <w:sz w:val="22"/>
          <w:szCs w:val="22"/>
          <w:shd w:val="clear" w:color="auto" w:fill="FFFFFF"/>
        </w:rPr>
        <w:t xml:space="preserve"> elev</w:t>
      </w:r>
      <w:r w:rsidR="000C2EBE">
        <w:rPr>
          <w:rFonts w:ascii="Times" w:eastAsia="Times New Roman" w:hAnsi="Times" w:cs="Arial"/>
          <w:color w:val="1C1D1E"/>
          <w:sz w:val="22"/>
          <w:szCs w:val="22"/>
          <w:shd w:val="clear" w:color="auto" w:fill="FFFFFF"/>
        </w:rPr>
        <w:t>ated LDH levels</w:t>
      </w:r>
      <w:r w:rsidR="000C2EBE" w:rsidRPr="000C2EBE">
        <w:rPr>
          <w:rFonts w:ascii="Times" w:eastAsia="Times New Roman" w:hAnsi="Times" w:cs="Arial"/>
          <w:color w:val="1C1D1E"/>
          <w:sz w:val="22"/>
          <w:szCs w:val="22"/>
          <w:shd w:val="clear" w:color="auto" w:fill="FFFFFF"/>
        </w:rPr>
        <w:t xml:space="preserve"> to suspect a diagnosis of PNH. </w:t>
      </w:r>
    </w:p>
    <w:p w14:paraId="47579855" w14:textId="6E4A646E" w:rsidR="00881A66" w:rsidRPr="00881A66" w:rsidRDefault="00881A66" w:rsidP="002412D0">
      <w:pPr>
        <w:jc w:val="both"/>
        <w:rPr>
          <w:rFonts w:ascii="Times" w:eastAsia="Times New Roman" w:hAnsi="Times" w:cs="Arial"/>
          <w:sz w:val="22"/>
          <w:szCs w:val="22"/>
        </w:rPr>
      </w:pPr>
    </w:p>
    <w:p w14:paraId="725D206A" w14:textId="77777777" w:rsidR="007661F2" w:rsidRPr="000C2EBE" w:rsidRDefault="007661F2" w:rsidP="002412D0">
      <w:pPr>
        <w:jc w:val="both"/>
        <w:rPr>
          <w:rFonts w:ascii="Times" w:hAnsi="Times" w:cs="Arial"/>
          <w:sz w:val="22"/>
          <w:szCs w:val="22"/>
        </w:rPr>
      </w:pPr>
    </w:p>
    <w:p w14:paraId="29637847" w14:textId="1E859B20" w:rsidR="007661F2" w:rsidRPr="000C2EBE" w:rsidRDefault="007661F2" w:rsidP="002412D0">
      <w:pPr>
        <w:jc w:val="both"/>
        <w:rPr>
          <w:rFonts w:ascii="Times" w:hAnsi="Times" w:cs="Arial"/>
          <w:sz w:val="22"/>
          <w:szCs w:val="22"/>
        </w:rPr>
      </w:pPr>
      <w:r w:rsidRPr="000C2EBE">
        <w:rPr>
          <w:rFonts w:ascii="Times" w:hAnsi="Times" w:cs="Arial"/>
          <w:sz w:val="22"/>
          <w:szCs w:val="22"/>
        </w:rPr>
        <w:t>Biography</w:t>
      </w:r>
    </w:p>
    <w:p w14:paraId="680A06F2"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 xml:space="preserve">Diana Colleen M. Dimayuga, MD is a medical resident at St Luke’s Medical Center-Global City, Philippines. </w:t>
      </w:r>
    </w:p>
    <w:p w14:paraId="63B952DF" w14:textId="77777777" w:rsidR="0041780F" w:rsidRPr="000C2EBE" w:rsidRDefault="0041780F" w:rsidP="002412D0">
      <w:pPr>
        <w:jc w:val="both"/>
        <w:rPr>
          <w:rFonts w:ascii="Times" w:hAnsi="Times" w:cs="Arial"/>
          <w:sz w:val="22"/>
          <w:szCs w:val="22"/>
        </w:rPr>
      </w:pPr>
    </w:p>
    <w:p w14:paraId="57AD107F"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Presenting author details</w:t>
      </w:r>
    </w:p>
    <w:p w14:paraId="255ED006" w14:textId="7972D1D4" w:rsidR="007661F2" w:rsidRPr="000C2EBE" w:rsidRDefault="002412D0" w:rsidP="002412D0">
      <w:pPr>
        <w:jc w:val="both"/>
        <w:rPr>
          <w:rFonts w:ascii="Times" w:hAnsi="Times" w:cs="Arial"/>
          <w:sz w:val="22"/>
          <w:szCs w:val="22"/>
        </w:rPr>
      </w:pPr>
      <w:r>
        <w:rPr>
          <w:rFonts w:ascii="Times" w:hAnsi="Times" w:cs="Arial"/>
          <w:sz w:val="22"/>
          <w:szCs w:val="22"/>
        </w:rPr>
        <w:t>Diana Colleen M. Dimayuga, MD</w:t>
      </w:r>
      <w:bookmarkStart w:id="0" w:name="_GoBack"/>
      <w:bookmarkEnd w:id="0"/>
    </w:p>
    <w:p w14:paraId="415F41A2"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+63 9175460916</w:t>
      </w:r>
    </w:p>
    <w:p w14:paraId="7E65BA51"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Twitter: NA</w:t>
      </w:r>
    </w:p>
    <w:p w14:paraId="1FA9A6CB"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Linked In: NA</w:t>
      </w:r>
    </w:p>
    <w:p w14:paraId="4A708CD7"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Session name/number:</w:t>
      </w:r>
    </w:p>
    <w:p w14:paraId="5AD7FECD" w14:textId="77777777" w:rsidR="007661F2" w:rsidRPr="000C2EBE" w:rsidRDefault="007661F2" w:rsidP="002412D0">
      <w:pPr>
        <w:jc w:val="both"/>
        <w:rPr>
          <w:rFonts w:ascii="Times" w:hAnsi="Times" w:cs="Arial"/>
          <w:sz w:val="22"/>
          <w:szCs w:val="22"/>
        </w:rPr>
      </w:pPr>
      <w:r w:rsidRPr="000C2EBE">
        <w:rPr>
          <w:rFonts w:ascii="Times" w:hAnsi="Times" w:cs="Arial"/>
          <w:sz w:val="22"/>
          <w:szCs w:val="22"/>
        </w:rPr>
        <w:t>Category: Oral/Poster presentation</w:t>
      </w:r>
    </w:p>
    <w:p w14:paraId="2B56F17D" w14:textId="77777777" w:rsidR="0041780F" w:rsidRPr="000C2EBE" w:rsidRDefault="0041780F">
      <w:pPr>
        <w:rPr>
          <w:rFonts w:ascii="Times" w:hAnsi="Times" w:cs="Arial"/>
          <w:sz w:val="22"/>
          <w:szCs w:val="22"/>
        </w:rPr>
      </w:pPr>
    </w:p>
    <w:sectPr w:rsidR="0041780F" w:rsidRPr="000C2EBE" w:rsidSect="008852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80F"/>
    <w:rsid w:val="000C2EBE"/>
    <w:rsid w:val="002412D0"/>
    <w:rsid w:val="0041780F"/>
    <w:rsid w:val="007661F2"/>
    <w:rsid w:val="00881A66"/>
    <w:rsid w:val="008852DA"/>
    <w:rsid w:val="00C5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FBC1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1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7091">
      <w:bodyDiv w:val="1"/>
      <w:marLeft w:val="0"/>
      <w:marRight w:val="0"/>
      <w:marTop w:val="0"/>
      <w:marBottom w:val="0"/>
      <w:divBdr>
        <w:top w:val="none" w:sz="0" w:space="0" w:color="auto"/>
        <w:left w:val="none" w:sz="0" w:space="0" w:color="auto"/>
        <w:bottom w:val="none" w:sz="0" w:space="0" w:color="auto"/>
        <w:right w:val="none" w:sz="0" w:space="0" w:color="auto"/>
      </w:divBdr>
    </w:div>
    <w:div w:id="1037775686">
      <w:bodyDiv w:val="1"/>
      <w:marLeft w:val="0"/>
      <w:marRight w:val="0"/>
      <w:marTop w:val="0"/>
      <w:marBottom w:val="0"/>
      <w:divBdr>
        <w:top w:val="none" w:sz="0" w:space="0" w:color="auto"/>
        <w:left w:val="none" w:sz="0" w:space="0" w:color="auto"/>
        <w:bottom w:val="none" w:sz="0" w:space="0" w:color="auto"/>
        <w:right w:val="none" w:sz="0" w:space="0" w:color="auto"/>
      </w:divBdr>
    </w:div>
    <w:div w:id="1091976144">
      <w:bodyDiv w:val="1"/>
      <w:marLeft w:val="0"/>
      <w:marRight w:val="0"/>
      <w:marTop w:val="0"/>
      <w:marBottom w:val="0"/>
      <w:divBdr>
        <w:top w:val="none" w:sz="0" w:space="0" w:color="auto"/>
        <w:left w:val="none" w:sz="0" w:space="0" w:color="auto"/>
        <w:bottom w:val="none" w:sz="0" w:space="0" w:color="auto"/>
        <w:right w:val="none" w:sz="0" w:space="0" w:color="auto"/>
      </w:divBdr>
    </w:div>
    <w:div w:id="1543052618">
      <w:bodyDiv w:val="1"/>
      <w:marLeft w:val="0"/>
      <w:marRight w:val="0"/>
      <w:marTop w:val="0"/>
      <w:marBottom w:val="0"/>
      <w:divBdr>
        <w:top w:val="none" w:sz="0" w:space="0" w:color="auto"/>
        <w:left w:val="none" w:sz="0" w:space="0" w:color="auto"/>
        <w:bottom w:val="none" w:sz="0" w:space="0" w:color="auto"/>
        <w:right w:val="none" w:sz="0" w:space="0" w:color="auto"/>
      </w:divBdr>
    </w:div>
    <w:div w:id="17977184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296</Words>
  <Characters>1691</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2019-06-02T05:47:00Z</dcterms:created>
  <dcterms:modified xsi:type="dcterms:W3CDTF">2019-06-02T06:12:00Z</dcterms:modified>
</cp:coreProperties>
</file>