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9A6" w:rsidRDefault="006A39A6" w:rsidP="006A39A6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Chronic myeloid leukemia with complex karyotypes:</w:t>
      </w:r>
    </w:p>
    <w:p w:rsidR="006A39A6" w:rsidRDefault="006A39A6" w:rsidP="006A39A6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Prognosis and therapeutic approaches</w:t>
      </w:r>
    </w:p>
    <w:p w:rsidR="006A39A6" w:rsidRDefault="006A39A6" w:rsidP="006A39A6">
      <w:pPr>
        <w:spacing w:line="240" w:lineRule="auto"/>
        <w:jc w:val="both"/>
        <w:rPr>
          <w:rFonts w:cs="Times New Roman"/>
          <w:b/>
          <w:bCs/>
          <w:sz w:val="24"/>
          <w:szCs w:val="24"/>
        </w:rPr>
      </w:pPr>
    </w:p>
    <w:p w:rsidR="006A39A6" w:rsidRDefault="006A39A6" w:rsidP="006A39A6">
      <w:pPr>
        <w:spacing w:line="240" w:lineRule="auto"/>
        <w:jc w:val="both"/>
        <w:rPr>
          <w:rFonts w:cs="Times New Roman"/>
          <w:b/>
          <w:bCs/>
          <w:sz w:val="24"/>
          <w:szCs w:val="24"/>
        </w:rPr>
      </w:pPr>
    </w:p>
    <w:p w:rsidR="006A39A6" w:rsidRDefault="006A39A6" w:rsidP="006A39A6">
      <w:pPr>
        <w:spacing w:line="240" w:lineRule="auto"/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p w:rsidR="006A39A6" w:rsidRDefault="006A39A6" w:rsidP="006A39A6">
      <w:pPr>
        <w:spacing w:line="240" w:lineRule="auto"/>
        <w:jc w:val="both"/>
        <w:rPr>
          <w:rFonts w:cs="Times New Roman"/>
          <w:sz w:val="24"/>
          <w:szCs w:val="24"/>
        </w:rPr>
      </w:pPr>
    </w:p>
    <w:p w:rsidR="006A39A6" w:rsidRDefault="006A39A6" w:rsidP="006A39A6">
      <w:pPr>
        <w:spacing w:line="240" w:lineRule="auto"/>
        <w:jc w:val="both"/>
        <w:rPr>
          <w:rFonts w:cs="Times New Roman"/>
          <w:b/>
          <w:bCs/>
          <w:color w:val="0000FF"/>
          <w:sz w:val="24"/>
          <w:szCs w:val="24"/>
          <w:u w:val="single"/>
          <w:lang w:val="en-GB"/>
        </w:rPr>
      </w:pPr>
      <w:r>
        <w:rPr>
          <w:rFonts w:cs="Times New Roman"/>
          <w:b/>
          <w:bCs/>
          <w:sz w:val="24"/>
          <w:szCs w:val="24"/>
          <w:lang w:val="en-GB"/>
        </w:rPr>
        <w:t xml:space="preserve">Corresponding Author: </w:t>
      </w:r>
      <w:proofErr w:type="spellStart"/>
      <w:r>
        <w:rPr>
          <w:rFonts w:cs="Times New Roman"/>
          <w:sz w:val="24"/>
          <w:szCs w:val="24"/>
          <w:lang w:val="en-GB"/>
        </w:rPr>
        <w:t>Zeinab</w:t>
      </w:r>
      <w:proofErr w:type="spellEnd"/>
      <w:r>
        <w:rPr>
          <w:rFonts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cs="Times New Roman"/>
          <w:sz w:val="24"/>
          <w:szCs w:val="24"/>
          <w:lang w:val="en-GB"/>
        </w:rPr>
        <w:t>Deris</w:t>
      </w:r>
      <w:proofErr w:type="spellEnd"/>
      <w:r>
        <w:rPr>
          <w:rFonts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cs="Times New Roman"/>
          <w:sz w:val="24"/>
          <w:szCs w:val="24"/>
          <w:lang w:val="en-GB"/>
        </w:rPr>
        <w:t>Zayeri</w:t>
      </w:r>
      <w:proofErr w:type="spellEnd"/>
      <w:r>
        <w:rPr>
          <w:rFonts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cs="Times New Roman"/>
          <w:sz w:val="24"/>
          <w:szCs w:val="24"/>
          <w:lang w:val="en-GB"/>
        </w:rPr>
        <w:t>Golestan</w:t>
      </w:r>
      <w:proofErr w:type="spellEnd"/>
      <w:r>
        <w:rPr>
          <w:rFonts w:cs="Times New Roman"/>
          <w:sz w:val="24"/>
          <w:szCs w:val="24"/>
          <w:lang w:val="en-GB"/>
        </w:rPr>
        <w:t xml:space="preserve"> Hospital Clinical Research Development Unit, Ahvaz </w:t>
      </w:r>
      <w:proofErr w:type="spellStart"/>
      <w:r>
        <w:rPr>
          <w:rFonts w:cs="Times New Roman"/>
          <w:sz w:val="24"/>
          <w:szCs w:val="24"/>
          <w:lang w:val="en-GB"/>
        </w:rPr>
        <w:t>Jundishapur</w:t>
      </w:r>
      <w:proofErr w:type="spellEnd"/>
      <w:r>
        <w:rPr>
          <w:rFonts w:cs="Times New Roman"/>
          <w:sz w:val="24"/>
          <w:szCs w:val="24"/>
          <w:lang w:val="en-GB"/>
        </w:rPr>
        <w:t xml:space="preserve"> University of Medical Sciences, Ahvaz, Iran. Email:zeynabderisgenetice@gmail.com, Tel: +989167599983</w:t>
      </w:r>
    </w:p>
    <w:p w:rsidR="006A39A6" w:rsidRDefault="006A39A6" w:rsidP="006A39A6">
      <w:pPr>
        <w:spacing w:line="240" w:lineRule="auto"/>
        <w:jc w:val="both"/>
        <w:rPr>
          <w:rFonts w:cs="Times New Roman"/>
          <w:b/>
          <w:bCs/>
        </w:rPr>
      </w:pPr>
    </w:p>
    <w:p w:rsidR="006A39A6" w:rsidRDefault="006A39A6" w:rsidP="006A39A6">
      <w:pPr>
        <w:spacing w:line="240" w:lineRule="auto"/>
        <w:jc w:val="both"/>
        <w:rPr>
          <w:rFonts w:cs="Times New Roman"/>
          <w:b/>
          <w:bCs/>
          <w:lang w:val="en-GB"/>
        </w:rPr>
      </w:pPr>
      <w:r>
        <w:rPr>
          <w:rFonts w:cs="Times New Roman"/>
          <w:b/>
          <w:bCs/>
          <w:lang w:val="en-GB"/>
        </w:rPr>
        <w:t xml:space="preserve">Brief running title: </w:t>
      </w:r>
      <w:r>
        <w:rPr>
          <w:rFonts w:cs="Times New Roman"/>
          <w:b/>
          <w:bCs/>
        </w:rPr>
        <w:t xml:space="preserve">Complex karyotypes in CML </w:t>
      </w:r>
    </w:p>
    <w:p w:rsidR="006A39A6" w:rsidRDefault="006A39A6" w:rsidP="006A39A6">
      <w:pPr>
        <w:spacing w:line="240" w:lineRule="auto"/>
        <w:jc w:val="both"/>
        <w:rPr>
          <w:rFonts w:cs="Times New Roman"/>
          <w:b/>
          <w:bCs/>
          <w:lang w:val="en-GB"/>
        </w:rPr>
      </w:pPr>
      <w:r>
        <w:rPr>
          <w:rFonts w:cs="Times New Roman"/>
          <w:b/>
          <w:bCs/>
          <w:lang w:val="en-GB"/>
        </w:rPr>
        <w:t>Abstract word count: 242</w:t>
      </w:r>
    </w:p>
    <w:p w:rsidR="006A39A6" w:rsidRDefault="006A39A6" w:rsidP="006A39A6">
      <w:pPr>
        <w:spacing w:line="240" w:lineRule="auto"/>
        <w:jc w:val="both"/>
        <w:rPr>
          <w:rFonts w:cs="Times New Roman"/>
          <w:b/>
          <w:bCs/>
        </w:rPr>
      </w:pPr>
    </w:p>
    <w:p w:rsidR="006A39A6" w:rsidRDefault="006A39A6" w:rsidP="006A39A6">
      <w:pPr>
        <w:spacing w:line="360" w:lineRule="auto"/>
        <w:jc w:val="both"/>
        <w:rPr>
          <w:rFonts w:cs="Times New Roman"/>
          <w:b/>
          <w:bCs/>
        </w:rPr>
      </w:pPr>
    </w:p>
    <w:p w:rsidR="006A39A6" w:rsidRDefault="006A39A6" w:rsidP="006A39A6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</w:p>
    <w:p w:rsidR="006A39A6" w:rsidRDefault="006A39A6" w:rsidP="006A39A6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Highlights: </w:t>
      </w:r>
    </w:p>
    <w:p w:rsidR="006A39A6" w:rsidRDefault="006A39A6" w:rsidP="006A39A6">
      <w:pPr>
        <w:spacing w:line="360" w:lineRule="auto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-Approximately 10-12% of CML patients exhibit additional chromosomal aberrations (ACAs) in chronic phase and blast crisis.</w:t>
      </w:r>
    </w:p>
    <w:p w:rsidR="006A39A6" w:rsidRDefault="006A39A6" w:rsidP="006A39A6">
      <w:pPr>
        <w:spacing w:line="360" w:lineRule="auto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-ACAs may cause different features on CML patients according to Philadelphia translocation pattern.</w:t>
      </w:r>
    </w:p>
    <w:p w:rsidR="006A39A6" w:rsidRDefault="006A39A6" w:rsidP="006A39A6">
      <w:pPr>
        <w:spacing w:line="360" w:lineRule="auto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Karyotype analysis in CML patients with complex karyotype shows un-random pattern.</w:t>
      </w:r>
    </w:p>
    <w:p w:rsidR="006A39A6" w:rsidRDefault="006A39A6" w:rsidP="006A39A6">
      <w:pPr>
        <w:spacing w:line="360" w:lineRule="auto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-Incidence of additional chromosome and variant translocation is higher in blast crisis of CML.</w:t>
      </w:r>
    </w:p>
    <w:p w:rsidR="006A39A6" w:rsidRDefault="006A39A6" w:rsidP="006A39A6">
      <w:pPr>
        <w:spacing w:line="360" w:lineRule="auto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ACAs and </w:t>
      </w:r>
      <w:proofErr w:type="spellStart"/>
      <w:r>
        <w:rPr>
          <w:rFonts w:cs="Times New Roman"/>
          <w:sz w:val="24"/>
          <w:szCs w:val="24"/>
        </w:rPr>
        <w:t>karyotypic</w:t>
      </w:r>
      <w:proofErr w:type="spellEnd"/>
      <w:r>
        <w:rPr>
          <w:rFonts w:cs="Times New Roman"/>
          <w:sz w:val="24"/>
          <w:szCs w:val="24"/>
        </w:rPr>
        <w:t xml:space="preserve"> changes can also be as an alarm for drug resistant in CML</w:t>
      </w:r>
    </w:p>
    <w:p w:rsidR="006A39A6" w:rsidRPr="006A39A6" w:rsidRDefault="006A39A6" w:rsidP="006A39A6">
      <w:pPr>
        <w:spacing w:line="360" w:lineRule="auto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-Complex karyotype is a negative prognostic factor for patients’ survival, especially in blast crisis.</w:t>
      </w:r>
    </w:p>
    <w:p w:rsidR="006A39A6" w:rsidRDefault="006A39A6" w:rsidP="006A39A6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</w:p>
    <w:p w:rsidR="006A39A6" w:rsidRDefault="006A39A6" w:rsidP="006A39A6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Abstract</w:t>
      </w:r>
    </w:p>
    <w:p w:rsidR="006A39A6" w:rsidRDefault="006A39A6" w:rsidP="006A39A6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Objective and background:</w:t>
      </w:r>
      <w:r>
        <w:rPr>
          <w:rFonts w:cs="Times New Roman"/>
          <w:sz w:val="24"/>
          <w:szCs w:val="24"/>
        </w:rPr>
        <w:t xml:space="preserve"> Chronic myeloid leukemia (CML) is a neoplastic disease </w:t>
      </w:r>
      <w:proofErr w:type="gramStart"/>
      <w:r>
        <w:rPr>
          <w:rFonts w:cs="Times New Roman"/>
          <w:sz w:val="24"/>
          <w:szCs w:val="24"/>
        </w:rPr>
        <w:t>whose</w:t>
      </w:r>
      <w:proofErr w:type="gramEnd"/>
      <w:r>
        <w:rPr>
          <w:rFonts w:cs="Times New Roman"/>
          <w:sz w:val="24"/>
          <w:szCs w:val="24"/>
        </w:rPr>
        <w:t xml:space="preserve"> genetic and cytogenetic changes play important roles in prognosis and treatment strategies. Philadelphia (</w:t>
      </w:r>
      <w:proofErr w:type="spellStart"/>
      <w:r>
        <w:rPr>
          <w:rFonts w:cs="Times New Roman"/>
          <w:sz w:val="24"/>
          <w:szCs w:val="24"/>
        </w:rPr>
        <w:t>Ph</w:t>
      </w:r>
      <w:proofErr w:type="spellEnd"/>
      <w:r>
        <w:rPr>
          <w:rFonts w:cs="Times New Roman"/>
          <w:sz w:val="24"/>
          <w:szCs w:val="24"/>
        </w:rPr>
        <w:t xml:space="preserve">) translocation </w:t>
      </w:r>
      <w:proofErr w:type="gramStart"/>
      <w:r>
        <w:rPr>
          <w:rFonts w:cs="Times New Roman"/>
          <w:sz w:val="24"/>
          <w:szCs w:val="24"/>
        </w:rPr>
        <w:t>t(</w:t>
      </w:r>
      <w:proofErr w:type="gramEnd"/>
      <w:r>
        <w:rPr>
          <w:rFonts w:cs="Times New Roman"/>
          <w:sz w:val="24"/>
          <w:szCs w:val="24"/>
        </w:rPr>
        <w:t>9;22)(q34;q11)</w:t>
      </w: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 a diagnostic and prognostic biomarker in CML.</w:t>
      </w:r>
    </w:p>
    <w:p w:rsidR="006A39A6" w:rsidRDefault="006A39A6" w:rsidP="006A39A6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Method:</w:t>
      </w:r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Pubmed</w:t>
      </w:r>
      <w:proofErr w:type="spellEnd"/>
      <w:r>
        <w:rPr>
          <w:rFonts w:cs="Times New Roman"/>
          <w:sz w:val="24"/>
          <w:szCs w:val="24"/>
        </w:rPr>
        <w:t xml:space="preserve"> and Google Scholar databases were searched for English language articles from 1975 to 2017 containing the terms Chronic Myeloid Leukemia; Additional chromosomal abnormalities; Philadelphia translocation; Prognosis; and Treatment.</w:t>
      </w:r>
    </w:p>
    <w:p w:rsidR="006A39A6" w:rsidRDefault="006A39A6" w:rsidP="006A39A6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Discussion:</w:t>
      </w:r>
      <w:r>
        <w:rPr>
          <w:rFonts w:cs="Times New Roman"/>
          <w:sz w:val="24"/>
          <w:szCs w:val="24"/>
        </w:rPr>
        <w:t xml:space="preserve"> Approximately 10-12% of CML patients exhibit additional chromosomal aberrations (ACAs) in chronic phase and blast crisis. ACAs emergence may cause different features in CML patients according to </w:t>
      </w:r>
      <w:proofErr w:type="spellStart"/>
      <w:r>
        <w:rPr>
          <w:rFonts w:cs="Times New Roman"/>
          <w:sz w:val="24"/>
          <w:szCs w:val="24"/>
        </w:rPr>
        <w:t>Ph</w:t>
      </w:r>
      <w:proofErr w:type="spellEnd"/>
      <w:r>
        <w:rPr>
          <w:rFonts w:cs="Times New Roman"/>
          <w:sz w:val="24"/>
          <w:szCs w:val="24"/>
        </w:rPr>
        <w:t xml:space="preserve"> pattern. For instance, deletion of chromosome 9 derivation is associated to patient’s bad survival whereas </w:t>
      </w:r>
      <w:proofErr w:type="spellStart"/>
      <w:r>
        <w:rPr>
          <w:rFonts w:cs="Times New Roman"/>
          <w:sz w:val="24"/>
          <w:szCs w:val="24"/>
        </w:rPr>
        <w:t>monosomy</w:t>
      </w:r>
      <w:proofErr w:type="spellEnd"/>
      <w:r>
        <w:rPr>
          <w:rFonts w:cs="Times New Roman"/>
          <w:sz w:val="24"/>
          <w:szCs w:val="24"/>
        </w:rPr>
        <w:t xml:space="preserve"> 7 develops myeloid dysplastic syndrome (MDS) or acute myeloid leukemia (AML) in CML patients with </w:t>
      </w:r>
      <w:proofErr w:type="spellStart"/>
      <w:r>
        <w:rPr>
          <w:rFonts w:cs="Times New Roman"/>
          <w:sz w:val="24"/>
          <w:szCs w:val="24"/>
        </w:rPr>
        <w:t>Ph</w:t>
      </w:r>
      <w:proofErr w:type="spellEnd"/>
      <w:r>
        <w:rPr>
          <w:rFonts w:cs="Times New Roman"/>
          <w:sz w:val="24"/>
          <w:szCs w:val="24"/>
        </w:rPr>
        <w:t xml:space="preserve"> negative pattern. And ACAs in </w:t>
      </w:r>
      <w:proofErr w:type="spellStart"/>
      <w:r>
        <w:rPr>
          <w:rFonts w:cs="Times New Roman"/>
          <w:sz w:val="24"/>
          <w:szCs w:val="24"/>
        </w:rPr>
        <w:t>Ph</w:t>
      </w:r>
      <w:proofErr w:type="spellEnd"/>
      <w:r>
        <w:rPr>
          <w:rFonts w:cs="Times New Roman"/>
          <w:sz w:val="24"/>
          <w:szCs w:val="24"/>
        </w:rPr>
        <w:t xml:space="preserve"> positive CML is considered as a failure in the management of CML with </w:t>
      </w:r>
      <w:proofErr w:type="spellStart"/>
      <w:r>
        <w:rPr>
          <w:rFonts w:cs="Times New Roman"/>
          <w:sz w:val="24"/>
          <w:szCs w:val="24"/>
        </w:rPr>
        <w:t>imatinib</w:t>
      </w:r>
      <w:proofErr w:type="spellEnd"/>
      <w:r>
        <w:rPr>
          <w:rFonts w:cs="Times New Roman"/>
          <w:sz w:val="24"/>
          <w:szCs w:val="24"/>
        </w:rPr>
        <w:t xml:space="preserve">. </w:t>
      </w:r>
    </w:p>
    <w:p w:rsidR="006A39A6" w:rsidRDefault="006A39A6" w:rsidP="006A39A6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Conclusion:</w:t>
      </w:r>
      <w:r>
        <w:rPr>
          <w:rFonts w:cs="Times New Roman"/>
          <w:sz w:val="24"/>
          <w:szCs w:val="24"/>
        </w:rPr>
        <w:t xml:space="preserve"> CML classification using different features such as </w:t>
      </w:r>
      <w:proofErr w:type="spellStart"/>
      <w:r>
        <w:rPr>
          <w:rFonts w:cs="Times New Roman"/>
          <w:sz w:val="24"/>
          <w:szCs w:val="24"/>
        </w:rPr>
        <w:t>Ph</w:t>
      </w:r>
      <w:proofErr w:type="spellEnd"/>
      <w:r>
        <w:rPr>
          <w:rFonts w:cs="Times New Roman"/>
          <w:sz w:val="24"/>
          <w:szCs w:val="24"/>
        </w:rPr>
        <w:t xml:space="preserve"> and ACAs can play a decisive role in the evaluation of treatment responses in patients for example CML patients with </w:t>
      </w:r>
      <w:proofErr w:type="spellStart"/>
      <w:r>
        <w:rPr>
          <w:rFonts w:cs="Times New Roman"/>
          <w:sz w:val="24"/>
          <w:szCs w:val="24"/>
        </w:rPr>
        <w:t>Ph</w:t>
      </w:r>
      <w:proofErr w:type="spellEnd"/>
      <w:r>
        <w:rPr>
          <w:rFonts w:cs="Times New Roman"/>
          <w:sz w:val="24"/>
          <w:szCs w:val="24"/>
        </w:rPr>
        <w:t xml:space="preserve"> negative and </w:t>
      </w:r>
      <w:proofErr w:type="spellStart"/>
      <w:r>
        <w:rPr>
          <w:rFonts w:cs="Times New Roman"/>
          <w:sz w:val="24"/>
          <w:szCs w:val="24"/>
        </w:rPr>
        <w:t>monosomy</w:t>
      </w:r>
      <w:proofErr w:type="spellEnd"/>
      <w:r>
        <w:rPr>
          <w:rFonts w:cs="Times New Roman"/>
          <w:sz w:val="24"/>
          <w:szCs w:val="24"/>
        </w:rPr>
        <w:t xml:space="preserve"> 7 develop myeloid dysplastic syndrome or CML patient –Y and extra copy of </w:t>
      </w:r>
      <w:proofErr w:type="spellStart"/>
      <w:r>
        <w:rPr>
          <w:rFonts w:cs="Times New Roman"/>
          <w:sz w:val="24"/>
          <w:szCs w:val="24"/>
        </w:rPr>
        <w:t>Ph</w:t>
      </w:r>
      <w:proofErr w:type="spellEnd"/>
      <w:r>
        <w:rPr>
          <w:rFonts w:cs="Times New Roman"/>
          <w:sz w:val="24"/>
          <w:szCs w:val="24"/>
        </w:rPr>
        <w:t xml:space="preserve"> have a good response to t tyrosine kinase inhibitors, therefore, classifications according to </w:t>
      </w:r>
      <w:proofErr w:type="spellStart"/>
      <w:r>
        <w:rPr>
          <w:rFonts w:cs="Times New Roman"/>
          <w:sz w:val="24"/>
          <w:szCs w:val="24"/>
        </w:rPr>
        <w:t>Ph</w:t>
      </w:r>
      <w:proofErr w:type="spellEnd"/>
      <w:r>
        <w:rPr>
          <w:rFonts w:cs="Times New Roman"/>
          <w:sz w:val="24"/>
          <w:szCs w:val="24"/>
        </w:rPr>
        <w:t xml:space="preserve"> and ACAs play an important role in choosing better treatment protocols and therapeutic strategies. Karyotype analysis in CML patients with complex karyotype shows un-random pattern so ACAs can be great clue in medical guidelines.</w:t>
      </w:r>
    </w:p>
    <w:p w:rsidR="006A39A6" w:rsidRDefault="006A39A6" w:rsidP="006A39A6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</w:p>
    <w:p w:rsidR="006A39A6" w:rsidRDefault="006A39A6" w:rsidP="006A39A6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Keywords:</w:t>
      </w:r>
      <w:r>
        <w:rPr>
          <w:rFonts w:cs="Times New Roman"/>
          <w:sz w:val="24"/>
          <w:szCs w:val="24"/>
        </w:rPr>
        <w:t xml:space="preserve"> Chronic Myeloid Leukemia; Chromosome Aberration; Prognosis; Complex Karyotype, Genetic</w:t>
      </w:r>
    </w:p>
    <w:p w:rsidR="006A39A6" w:rsidRDefault="006A39A6" w:rsidP="006A39A6">
      <w:pPr>
        <w:spacing w:line="360" w:lineRule="auto"/>
        <w:jc w:val="both"/>
        <w:rPr>
          <w:rFonts w:cs="Times New Roman"/>
          <w:b/>
          <w:bCs/>
          <w:sz w:val="24"/>
          <w:szCs w:val="24"/>
        </w:rPr>
      </w:pPr>
    </w:p>
    <w:p w:rsidR="0027631D" w:rsidRDefault="0027631D"/>
    <w:sectPr w:rsidR="00276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B0937"/>
    <w:multiLevelType w:val="hybridMultilevel"/>
    <w:tmpl w:val="517EC8F2"/>
    <w:lvl w:ilvl="0" w:tplc="472E471C">
      <w:start w:val="1"/>
      <w:numFmt w:val="decimal"/>
      <w:lvlText w:val="%1-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288"/>
    <w:rsid w:val="000C2288"/>
    <w:rsid w:val="0027631D"/>
    <w:rsid w:val="006A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9A6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9A6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Soorati</dc:creator>
  <cp:keywords/>
  <dc:description/>
  <cp:lastModifiedBy>Soorati</cp:lastModifiedBy>
  <cp:revision>2</cp:revision>
  <dcterms:created xsi:type="dcterms:W3CDTF">2018-11-29T01:00:00Z</dcterms:created>
  <dcterms:modified xsi:type="dcterms:W3CDTF">2018-11-29T01:00:00Z</dcterms:modified>
</cp:coreProperties>
</file>