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A0586" w14:textId="77777777" w:rsidR="00F84F25" w:rsidRDefault="006A7AA4">
      <w:pPr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en-US"/>
        </w:rPr>
        <w:drawing>
          <wp:inline distT="0" distB="0" distL="0" distR="0" wp14:anchorId="01D11030" wp14:editId="4C66B12B">
            <wp:extent cx="1421131" cy="1411606"/>
            <wp:effectExtent l="0" t="0" r="0" b="0"/>
            <wp:docPr id="1073741825" name="officeArt object" descr="dumm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dummy.jpg" descr="dummy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131" cy="1411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1CA2A599" w14:textId="3D106E91" w:rsidR="00F84F25" w:rsidRDefault="006A7AA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Title: </w:t>
      </w:r>
      <w:r>
        <w:rPr>
          <w:sz w:val="28"/>
          <w:szCs w:val="28"/>
          <w:lang w:val="en-US"/>
        </w:rPr>
        <w:t xml:space="preserve">Effects of cytokines on the function of </w:t>
      </w:r>
      <w:proofErr w:type="spellStart"/>
      <w:r>
        <w:rPr>
          <w:sz w:val="28"/>
          <w:szCs w:val="28"/>
        </w:rPr>
        <w:t>monocytes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macrophages</w:t>
      </w:r>
      <w:proofErr w:type="spellEnd"/>
      <w:r>
        <w:rPr>
          <w:sz w:val="28"/>
          <w:szCs w:val="28"/>
        </w:rPr>
        <w:t xml:space="preserve"> in </w:t>
      </w:r>
      <w:r>
        <w:rPr>
          <w:sz w:val="28"/>
          <w:szCs w:val="28"/>
          <w:lang w:val="en-US"/>
        </w:rPr>
        <w:t>a model of graft versus host disease</w:t>
      </w:r>
    </w:p>
    <w:p w14:paraId="26B78FBD" w14:textId="77777777" w:rsidR="00F84F25" w:rsidRDefault="00F84F25">
      <w:pPr>
        <w:rPr>
          <w:b/>
          <w:bCs/>
          <w:sz w:val="28"/>
          <w:szCs w:val="28"/>
        </w:rPr>
      </w:pPr>
    </w:p>
    <w:p w14:paraId="441B74E9" w14:textId="389B5F0A" w:rsidR="007634BA" w:rsidRDefault="006A7AA4" w:rsidP="007634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</w:t>
      </w:r>
      <w:r>
        <w:rPr>
          <w:b/>
          <w:bCs/>
          <w:sz w:val="28"/>
          <w:szCs w:val="28"/>
        </w:rPr>
        <w:t xml:space="preserve">    </w:t>
      </w:r>
      <w:proofErr w:type="spellStart"/>
      <w:r w:rsidR="00733187">
        <w:t>Name</w:t>
      </w:r>
      <w:proofErr w:type="spellEnd"/>
      <w:r w:rsidR="00733187">
        <w:t>: Deema Kamal</w:t>
      </w:r>
      <w:r>
        <w:t xml:space="preserve"> Sabir</w:t>
      </w:r>
    </w:p>
    <w:p w14:paraId="19348882" w14:textId="18B4F677" w:rsidR="00824DEC" w:rsidRPr="007634BA" w:rsidRDefault="007634BA" w:rsidP="007634BA">
      <w:pPr>
        <w:jc w:val="center"/>
        <w:rPr>
          <w:b/>
          <w:bCs/>
          <w:sz w:val="28"/>
          <w:szCs w:val="28"/>
        </w:rPr>
      </w:pPr>
      <w:r>
        <w:rPr>
          <w:rFonts w:eastAsia="Times New Roman" w:cs="Times New Roman"/>
          <w:color w:val="333333"/>
          <w:bdr w:val="none" w:sz="0" w:space="0" w:color="auto"/>
          <w:shd w:val="clear" w:color="auto" w:fill="FFFFFF"/>
          <w:lang w:val="en-US"/>
        </w:rPr>
        <w:t>A</w:t>
      </w:r>
      <w:r w:rsidRPr="007634BA">
        <w:rPr>
          <w:rFonts w:eastAsia="Times New Roman" w:cs="Times New Roman"/>
          <w:color w:val="333333"/>
          <w:bdr w:val="none" w:sz="0" w:space="0" w:color="auto"/>
          <w:shd w:val="clear" w:color="auto" w:fill="FFFFFF"/>
          <w:lang w:val="en-US"/>
        </w:rPr>
        <w:t>ffiliation</w:t>
      </w:r>
      <w:r w:rsidR="00E36EC2" w:rsidRPr="007634BA">
        <w:t>:</w:t>
      </w:r>
      <w:r w:rsidR="00E36EC2">
        <w:t xml:space="preserve"> </w:t>
      </w:r>
      <w:proofErr w:type="spellStart"/>
      <w:r w:rsidR="00E36EC2">
        <w:t>Princess</w:t>
      </w:r>
      <w:proofErr w:type="spellEnd"/>
      <w:r w:rsidR="00E36EC2">
        <w:t xml:space="preserve"> </w:t>
      </w:r>
      <w:proofErr w:type="spellStart"/>
      <w:r w:rsidR="00E36EC2">
        <w:t>Nourah</w:t>
      </w:r>
      <w:proofErr w:type="spellEnd"/>
      <w:r w:rsidR="00E36EC2">
        <w:t xml:space="preserve"> </w:t>
      </w:r>
      <w:proofErr w:type="spellStart"/>
      <w:r w:rsidR="00E36EC2">
        <w:t>bint</w:t>
      </w:r>
      <w:proofErr w:type="spellEnd"/>
      <w:r w:rsidR="00E36EC2">
        <w:t xml:space="preserve"> </w:t>
      </w:r>
      <w:proofErr w:type="spellStart"/>
      <w:r w:rsidR="00E36EC2">
        <w:t>Abdulrahman</w:t>
      </w:r>
      <w:proofErr w:type="spellEnd"/>
      <w:r w:rsidR="00E36EC2">
        <w:t xml:space="preserve"> </w:t>
      </w:r>
      <w:proofErr w:type="spellStart"/>
      <w:r w:rsidR="00E36EC2">
        <w:t>University</w:t>
      </w:r>
      <w:proofErr w:type="spellEnd"/>
    </w:p>
    <w:p w14:paraId="2C757B0B" w14:textId="77777777" w:rsidR="00F84F25" w:rsidRDefault="006A7AA4">
      <w:pPr>
        <w:jc w:val="center"/>
      </w:pPr>
      <w:proofErr w:type="spellStart"/>
      <w:r>
        <w:t>University</w:t>
      </w:r>
      <w:proofErr w:type="spellEnd"/>
      <w:r>
        <w:t xml:space="preserve"> of Westminster</w:t>
      </w:r>
      <w:r>
        <w:rPr>
          <w:lang w:val="en-US"/>
        </w:rPr>
        <w:t>, Department of Biomedical Sciences</w:t>
      </w:r>
      <w:r>
        <w:t xml:space="preserve">, </w:t>
      </w:r>
      <w:proofErr w:type="spellStart"/>
      <w:r>
        <w:t>London</w:t>
      </w:r>
      <w:proofErr w:type="spellEnd"/>
      <w:r>
        <w:t>, UK</w:t>
      </w:r>
    </w:p>
    <w:p w14:paraId="31FE17C2" w14:textId="77777777" w:rsidR="00F84F25" w:rsidRDefault="006A7AA4">
      <w:pPr>
        <w:jc w:val="center"/>
        <w:rPr>
          <w:lang w:val="en-US"/>
        </w:rPr>
      </w:pPr>
      <w:r>
        <w:rPr>
          <w:rFonts w:ascii="Arial Unicode MS" w:hAnsi="Arial Unicode MS"/>
          <w:lang w:val="en-US"/>
        </w:rPr>
        <w:br/>
      </w:r>
    </w:p>
    <w:p w14:paraId="11F067A2" w14:textId="4E340B74" w:rsidR="00F84F25" w:rsidRPr="00733187" w:rsidRDefault="006A7AA4" w:rsidP="00824DEC">
      <w:pPr>
        <w:pStyle w:val="BodyText"/>
        <w:spacing w:after="240"/>
        <w:jc w:val="both"/>
        <w:rPr>
          <w:rFonts w:eastAsia="Arial" w:cs="Times New Roman"/>
        </w:rPr>
      </w:pPr>
      <w:r w:rsidRPr="00733187">
        <w:rPr>
          <w:rFonts w:cs="Times New Roman"/>
        </w:rPr>
        <w:t>Acute graft versus host disease (</w:t>
      </w:r>
      <w:proofErr w:type="spellStart"/>
      <w:r w:rsidRPr="00733187">
        <w:rPr>
          <w:rFonts w:cs="Times New Roman"/>
        </w:rPr>
        <w:t>aGVHD</w:t>
      </w:r>
      <w:proofErr w:type="spellEnd"/>
      <w:r w:rsidRPr="00733187">
        <w:rPr>
          <w:rFonts w:cs="Times New Roman"/>
        </w:rPr>
        <w:t xml:space="preserve">) is a severe complication of </w:t>
      </w:r>
      <w:proofErr w:type="spellStart"/>
      <w:r w:rsidRPr="00733187">
        <w:rPr>
          <w:rFonts w:cs="Times New Roman"/>
        </w:rPr>
        <w:t>Haematopo</w:t>
      </w:r>
      <w:r w:rsidR="00824DEC" w:rsidRPr="00733187">
        <w:rPr>
          <w:rFonts w:cs="Times New Roman"/>
        </w:rPr>
        <w:t>ietic</w:t>
      </w:r>
      <w:proofErr w:type="spellEnd"/>
      <w:r w:rsidR="00824DEC" w:rsidRPr="00733187">
        <w:rPr>
          <w:rFonts w:cs="Times New Roman"/>
        </w:rPr>
        <w:t xml:space="preserve"> Stem Cell Transplantation</w:t>
      </w:r>
      <w:r w:rsidR="001622C7" w:rsidRPr="00733187">
        <w:rPr>
          <w:rFonts w:cs="Times New Roman"/>
        </w:rPr>
        <w:t>,</w:t>
      </w:r>
      <w:r w:rsidR="00824DEC" w:rsidRPr="00733187">
        <w:rPr>
          <w:rFonts w:cs="Times New Roman"/>
        </w:rPr>
        <w:t xml:space="preserve"> </w:t>
      </w:r>
      <w:r w:rsidRPr="00733187">
        <w:rPr>
          <w:rFonts w:cs="Times New Roman"/>
        </w:rPr>
        <w:t xml:space="preserve">and the most common cause of mortality and morbidity post-transplant. The studies of </w:t>
      </w:r>
      <w:proofErr w:type="spellStart"/>
      <w:r w:rsidRPr="00733187">
        <w:rPr>
          <w:rFonts w:cs="Times New Roman"/>
        </w:rPr>
        <w:t>aGVHD</w:t>
      </w:r>
      <w:proofErr w:type="spellEnd"/>
      <w:r w:rsidRPr="00733187">
        <w:rPr>
          <w:rFonts w:cs="Times New Roman"/>
        </w:rPr>
        <w:t xml:space="preserve"> often rely on </w:t>
      </w:r>
      <w:proofErr w:type="spellStart"/>
      <w:r w:rsidRPr="00733187">
        <w:rPr>
          <w:rFonts w:cs="Times New Roman"/>
        </w:rPr>
        <w:t>humanised</w:t>
      </w:r>
      <w:proofErr w:type="spellEnd"/>
      <w:r w:rsidRPr="00733187">
        <w:rPr>
          <w:rFonts w:cs="Times New Roman"/>
        </w:rPr>
        <w:t xml:space="preserve"> mouse models, </w:t>
      </w:r>
      <w:r w:rsidR="009C67B0" w:rsidRPr="00733187">
        <w:rPr>
          <w:rFonts w:cs="Times New Roman"/>
        </w:rPr>
        <w:t>which provide</w:t>
      </w:r>
      <w:r w:rsidRPr="00733187">
        <w:rPr>
          <w:rFonts w:cs="Times New Roman"/>
        </w:rPr>
        <w:t xml:space="preserve"> limited insight into the pathology mechanisms. This highlights the need for developing the </w:t>
      </w:r>
      <w:r w:rsidRPr="00733187">
        <w:rPr>
          <w:rFonts w:cs="Times New Roman"/>
          <w:i/>
          <w:iCs/>
        </w:rPr>
        <w:t>in-vitro</w:t>
      </w:r>
      <w:r w:rsidRPr="00733187">
        <w:rPr>
          <w:rFonts w:cs="Times New Roman"/>
        </w:rPr>
        <w:t xml:space="preserve"> model</w:t>
      </w:r>
      <w:r w:rsidRPr="00733187">
        <w:rPr>
          <w:rFonts w:cs="Times New Roman"/>
        </w:rPr>
        <w:t xml:space="preserve"> of </w:t>
      </w:r>
      <w:proofErr w:type="spellStart"/>
      <w:r w:rsidRPr="00733187">
        <w:rPr>
          <w:rFonts w:cs="Times New Roman"/>
        </w:rPr>
        <w:t>aGVHD</w:t>
      </w:r>
      <w:proofErr w:type="spellEnd"/>
      <w:r w:rsidRPr="00733187">
        <w:rPr>
          <w:rFonts w:cs="Times New Roman"/>
        </w:rPr>
        <w:t xml:space="preserve"> based on using human cells and whole blood to study functional potential of human monocytes/macrophages in allogeneic reaction. It is widely accepted that monocyte differentiate into macrophages based on the microenvironment cytokine such as Inte</w:t>
      </w:r>
      <w:r w:rsidRPr="00733187">
        <w:rPr>
          <w:rFonts w:cs="Times New Roman"/>
        </w:rPr>
        <w:t>rferon-gamma (IFN-</w:t>
      </w:r>
      <w:r w:rsidR="009C67B0" w:rsidRPr="00733187">
        <w:rPr>
          <w:rFonts w:cs="Times New Roman"/>
        </w:rPr>
        <w:t>γ) activate</w:t>
      </w:r>
      <w:r w:rsidRPr="00733187">
        <w:rPr>
          <w:rFonts w:cs="Times New Roman"/>
        </w:rPr>
        <w:t xml:space="preserve"> classical</w:t>
      </w:r>
      <w:r w:rsidRPr="00733187">
        <w:rPr>
          <w:rFonts w:cs="Times New Roman"/>
        </w:rPr>
        <w:t xml:space="preserve"> M1</w:t>
      </w:r>
      <w:r w:rsidR="009C67B0" w:rsidRPr="00733187">
        <w:rPr>
          <w:rFonts w:cs="Times New Roman"/>
        </w:rPr>
        <w:t xml:space="preserve"> </w:t>
      </w:r>
      <w:r w:rsidR="009C67B0" w:rsidRPr="00733187">
        <w:rPr>
          <w:rFonts w:cs="Times New Roman"/>
        </w:rPr>
        <w:t>macrophages</w:t>
      </w:r>
      <w:r w:rsidRPr="00733187">
        <w:rPr>
          <w:rFonts w:cs="Times New Roman"/>
        </w:rPr>
        <w:t xml:space="preserve"> type that promotes inflammatory functions, whereas Interleukin-4 (IL-4) </w:t>
      </w:r>
      <w:r w:rsidR="001622C7" w:rsidRPr="00733187">
        <w:rPr>
          <w:rFonts w:cs="Times New Roman"/>
        </w:rPr>
        <w:t>activate the alternative M2</w:t>
      </w:r>
      <w:r w:rsidR="009C67B0" w:rsidRPr="00733187">
        <w:rPr>
          <w:rFonts w:cs="Times New Roman"/>
        </w:rPr>
        <w:t xml:space="preserve"> </w:t>
      </w:r>
      <w:r w:rsidR="009C67B0" w:rsidRPr="00733187">
        <w:rPr>
          <w:rFonts w:cs="Times New Roman"/>
        </w:rPr>
        <w:t>macrophages</w:t>
      </w:r>
      <w:r w:rsidR="009C67B0" w:rsidRPr="00733187">
        <w:rPr>
          <w:rFonts w:cs="Times New Roman"/>
        </w:rPr>
        <w:t xml:space="preserve"> with </w:t>
      </w:r>
      <w:r w:rsidRPr="00733187">
        <w:rPr>
          <w:rFonts w:cs="Times New Roman"/>
        </w:rPr>
        <w:t>tissue repair functions.</w:t>
      </w:r>
      <w:r w:rsidR="00733187" w:rsidRPr="00733187">
        <w:rPr>
          <w:rFonts w:cs="Times New Roman"/>
        </w:rPr>
        <w:t xml:space="preserve"> </w:t>
      </w:r>
      <w:r w:rsidRPr="00733187">
        <w:rPr>
          <w:rFonts w:cs="Times New Roman"/>
        </w:rPr>
        <w:t>This study proposes to generate inflammatory setting, which mimics patient</w:t>
      </w:r>
      <w:r w:rsidRPr="00733187">
        <w:rPr>
          <w:rFonts w:cs="Times New Roman"/>
        </w:rPr>
        <w:t>’</w:t>
      </w:r>
      <w:r w:rsidRPr="00733187">
        <w:rPr>
          <w:rFonts w:cs="Times New Roman"/>
        </w:rPr>
        <w:t xml:space="preserve">s condition after total body irradiation, then to add mismatched blood cells to trigger immunological response similar to </w:t>
      </w:r>
      <w:proofErr w:type="spellStart"/>
      <w:r w:rsidRPr="00733187">
        <w:rPr>
          <w:rFonts w:cs="Times New Roman"/>
        </w:rPr>
        <w:t>aGVHD</w:t>
      </w:r>
      <w:proofErr w:type="spellEnd"/>
      <w:r w:rsidRPr="00733187">
        <w:rPr>
          <w:rFonts w:cs="Times New Roman"/>
        </w:rPr>
        <w:t>. The cytokines IFN-</w:t>
      </w:r>
      <w:r w:rsidRPr="00733187">
        <w:rPr>
          <w:rFonts w:cs="Times New Roman"/>
        </w:rPr>
        <w:t xml:space="preserve">γ </w:t>
      </w:r>
      <w:r w:rsidRPr="00733187">
        <w:rPr>
          <w:rFonts w:cs="Times New Roman"/>
        </w:rPr>
        <w:t>and IL</w:t>
      </w:r>
      <w:r w:rsidRPr="00733187">
        <w:rPr>
          <w:rFonts w:cs="Times New Roman"/>
        </w:rPr>
        <w:t>-4 were used to allow monocytes to differentiate towards M1 or M2 macrophages.</w:t>
      </w:r>
      <w:r w:rsidR="00CD0BAC">
        <w:rPr>
          <w:rFonts w:cs="Times New Roman"/>
        </w:rPr>
        <w:t xml:space="preserve"> </w:t>
      </w:r>
      <w:r w:rsidRPr="00733187">
        <w:rPr>
          <w:rFonts w:cs="Times New Roman"/>
        </w:rPr>
        <w:t>This study assessed the variation in CD86 and HLA-DR expression on the surface of responder/donor monocytes and T cells proliferation by flow cytometer. Furthermore, pro-inflamm</w:t>
      </w:r>
      <w:r w:rsidRPr="00733187">
        <w:rPr>
          <w:rFonts w:cs="Times New Roman"/>
        </w:rPr>
        <w:t xml:space="preserve">atory cytokines were measured by ELISA. </w:t>
      </w:r>
      <w:r w:rsidRPr="00733187">
        <w:rPr>
          <w:rFonts w:cs="Times New Roman"/>
        </w:rPr>
        <w:t>The results show that both IFN-</w:t>
      </w:r>
      <w:r w:rsidRPr="00733187">
        <w:rPr>
          <w:rFonts w:cs="Times New Roman"/>
        </w:rPr>
        <w:t xml:space="preserve">γ </w:t>
      </w:r>
      <w:r w:rsidRPr="00733187">
        <w:rPr>
          <w:rFonts w:cs="Times New Roman"/>
        </w:rPr>
        <w:t xml:space="preserve">and IL-4 up-regulate the expression of CD86 and HLA-DR on the surface of classical CD14+ monocytes. </w:t>
      </w:r>
      <w:r w:rsidR="009C67B0" w:rsidRPr="00733187">
        <w:rPr>
          <w:rFonts w:cs="Times New Roman"/>
        </w:rPr>
        <w:t>And both cytokines allow</w:t>
      </w:r>
      <w:r w:rsidR="009C67B0" w:rsidRPr="00733187">
        <w:rPr>
          <w:rFonts w:cs="Times New Roman"/>
        </w:rPr>
        <w:t xml:space="preserve"> T cells proliferation </w:t>
      </w:r>
      <w:r w:rsidR="009C67B0" w:rsidRPr="00733187">
        <w:rPr>
          <w:rFonts w:cs="Times New Roman"/>
        </w:rPr>
        <w:t xml:space="preserve">  </w:t>
      </w:r>
      <w:r w:rsidRPr="00733187">
        <w:rPr>
          <w:rFonts w:cs="Times New Roman"/>
        </w:rPr>
        <w:t xml:space="preserve"> Indeed,</w:t>
      </w:r>
      <w:r w:rsidR="009C67B0" w:rsidRPr="00733187">
        <w:rPr>
          <w:rFonts w:cs="Times New Roman"/>
        </w:rPr>
        <w:t xml:space="preserve"> </w:t>
      </w:r>
      <w:r w:rsidR="00CD0BAC" w:rsidRPr="00733187">
        <w:rPr>
          <w:rFonts w:cs="Times New Roman"/>
        </w:rPr>
        <w:t>this</w:t>
      </w:r>
      <w:r w:rsidRPr="00733187">
        <w:rPr>
          <w:rFonts w:cs="Times New Roman"/>
        </w:rPr>
        <w:t xml:space="preserve"> indicates that in </w:t>
      </w:r>
      <w:proofErr w:type="spellStart"/>
      <w:r w:rsidRPr="00733187">
        <w:rPr>
          <w:rFonts w:cs="Times New Roman"/>
        </w:rPr>
        <w:t>aGVHD</w:t>
      </w:r>
      <w:proofErr w:type="spellEnd"/>
      <w:r w:rsidRPr="00733187">
        <w:rPr>
          <w:rFonts w:cs="Times New Roman"/>
        </w:rPr>
        <w:t xml:space="preserve"> environment monocytes/macrophages might be able to up-regulate co-stimulatory molecules and activate T cells in the presence of IL-4 cytokine despite its </w:t>
      </w:r>
      <w:r w:rsidRPr="00733187">
        <w:rPr>
          <w:rFonts w:cs="Times New Roman"/>
        </w:rPr>
        <w:t xml:space="preserve">reported role in resolving inflammation.  </w:t>
      </w:r>
    </w:p>
    <w:p w14:paraId="5F369BC6" w14:textId="00522B56" w:rsidR="00F84F25" w:rsidRPr="00733187" w:rsidRDefault="00EB6320">
      <w:pPr>
        <w:pStyle w:val="BodyText"/>
        <w:spacing w:after="240"/>
        <w:jc w:val="both"/>
        <w:rPr>
          <w:rFonts w:eastAsia="Arial" w:cs="Times New Roman"/>
        </w:rPr>
      </w:pPr>
      <w:r w:rsidRPr="00733187">
        <w:rPr>
          <w:rFonts w:cs="Times New Roman"/>
        </w:rPr>
        <w:t xml:space="preserve"> </w:t>
      </w:r>
    </w:p>
    <w:p w14:paraId="4D02DA03" w14:textId="77777777" w:rsidR="00F84F25" w:rsidRPr="00733187" w:rsidRDefault="006A7AA4">
      <w:pPr>
        <w:jc w:val="both"/>
        <w:rPr>
          <w:rFonts w:cs="Times New Roman"/>
          <w:b/>
          <w:bCs/>
        </w:rPr>
      </w:pPr>
      <w:proofErr w:type="spellStart"/>
      <w:r w:rsidRPr="00733187">
        <w:rPr>
          <w:rFonts w:cs="Times New Roman"/>
          <w:b/>
          <w:bCs/>
        </w:rPr>
        <w:t>Biography</w:t>
      </w:r>
      <w:proofErr w:type="spellEnd"/>
    </w:p>
    <w:p w14:paraId="01729231" w14:textId="77777777" w:rsidR="00F84F25" w:rsidRPr="00733187" w:rsidRDefault="006A7AA4">
      <w:pPr>
        <w:jc w:val="both"/>
        <w:rPr>
          <w:rFonts w:cs="Times New Roman"/>
          <w:b/>
          <w:bCs/>
        </w:rPr>
      </w:pPr>
      <w:r w:rsidRPr="00733187">
        <w:rPr>
          <w:rFonts w:cs="Times New Roman"/>
        </w:rPr>
        <w:t xml:space="preserve">Deema </w:t>
      </w:r>
      <w:r w:rsidRPr="00733187">
        <w:rPr>
          <w:rFonts w:cs="Times New Roman"/>
          <w:lang w:val="en-US"/>
        </w:rPr>
        <w:t>w</w:t>
      </w:r>
      <w:proofErr w:type="spellStart"/>
      <w:r w:rsidRPr="00733187">
        <w:rPr>
          <w:rFonts w:cs="Times New Roman"/>
        </w:rPr>
        <w:t>as</w:t>
      </w:r>
      <w:proofErr w:type="spellEnd"/>
      <w:r w:rsidRPr="00733187">
        <w:rPr>
          <w:rFonts w:cs="Times New Roman"/>
        </w:rPr>
        <w:t xml:space="preserve"> </w:t>
      </w:r>
      <w:proofErr w:type="spellStart"/>
      <w:r w:rsidRPr="00733187">
        <w:rPr>
          <w:rFonts w:cs="Times New Roman"/>
        </w:rPr>
        <w:t>awarded</w:t>
      </w:r>
      <w:proofErr w:type="spellEnd"/>
      <w:r w:rsidRPr="00733187">
        <w:rPr>
          <w:rFonts w:cs="Times New Roman"/>
        </w:rPr>
        <w:t xml:space="preserve"> </w:t>
      </w:r>
      <w:proofErr w:type="spellStart"/>
      <w:r w:rsidRPr="00733187">
        <w:rPr>
          <w:rFonts w:cs="Times New Roman"/>
        </w:rPr>
        <w:t>MSc</w:t>
      </w:r>
      <w:proofErr w:type="spellEnd"/>
      <w:r w:rsidRPr="00733187">
        <w:rPr>
          <w:rFonts w:cs="Times New Roman"/>
        </w:rPr>
        <w:t xml:space="preserve"> in </w:t>
      </w:r>
      <w:proofErr w:type="spellStart"/>
      <w:r w:rsidRPr="00733187">
        <w:rPr>
          <w:rFonts w:cs="Times New Roman"/>
        </w:rPr>
        <w:t>Heamatology</w:t>
      </w:r>
      <w:proofErr w:type="spellEnd"/>
      <w:r w:rsidRPr="00733187">
        <w:rPr>
          <w:rFonts w:cs="Times New Roman"/>
        </w:rPr>
        <w:t xml:space="preserve"> with </w:t>
      </w:r>
      <w:proofErr w:type="spellStart"/>
      <w:r w:rsidRPr="00733187">
        <w:rPr>
          <w:rFonts w:cs="Times New Roman"/>
        </w:rPr>
        <w:t>distinction</w:t>
      </w:r>
      <w:proofErr w:type="spellEnd"/>
      <w:r w:rsidRPr="00733187">
        <w:rPr>
          <w:rFonts w:cs="Times New Roman"/>
        </w:rPr>
        <w:t xml:space="preserve"> from </w:t>
      </w:r>
      <w:r w:rsidRPr="00733187">
        <w:rPr>
          <w:rFonts w:cs="Times New Roman"/>
          <w:lang w:val="en-US"/>
        </w:rPr>
        <w:t xml:space="preserve">the </w:t>
      </w:r>
      <w:proofErr w:type="spellStart"/>
      <w:r w:rsidRPr="00733187">
        <w:rPr>
          <w:rFonts w:cs="Times New Roman"/>
        </w:rPr>
        <w:t>University</w:t>
      </w:r>
      <w:proofErr w:type="spellEnd"/>
      <w:r w:rsidRPr="00733187">
        <w:rPr>
          <w:rFonts w:cs="Times New Roman"/>
        </w:rPr>
        <w:t xml:space="preserve"> of Westminster </w:t>
      </w:r>
      <w:r w:rsidRPr="00733187">
        <w:rPr>
          <w:rFonts w:cs="Times New Roman"/>
          <w:lang w:val="en-US"/>
        </w:rPr>
        <w:t xml:space="preserve">in </w:t>
      </w:r>
      <w:r w:rsidRPr="00733187">
        <w:rPr>
          <w:rFonts w:cs="Times New Roman"/>
        </w:rPr>
        <w:t xml:space="preserve">2016 and </w:t>
      </w:r>
      <w:proofErr w:type="spellStart"/>
      <w:r w:rsidRPr="00733187">
        <w:rPr>
          <w:rFonts w:cs="Times New Roman"/>
        </w:rPr>
        <w:t>cur</w:t>
      </w:r>
      <w:proofErr w:type="spellEnd"/>
      <w:r w:rsidRPr="00733187">
        <w:rPr>
          <w:rFonts w:cs="Times New Roman"/>
          <w:lang w:val="en-US"/>
        </w:rPr>
        <w:t>r</w:t>
      </w:r>
      <w:proofErr w:type="spellStart"/>
      <w:r w:rsidRPr="00733187">
        <w:rPr>
          <w:rFonts w:cs="Times New Roman"/>
        </w:rPr>
        <w:t>ently</w:t>
      </w:r>
      <w:proofErr w:type="spellEnd"/>
      <w:r w:rsidRPr="00733187">
        <w:rPr>
          <w:rFonts w:cs="Times New Roman"/>
        </w:rPr>
        <w:t xml:space="preserve"> </w:t>
      </w:r>
      <w:r w:rsidRPr="00733187">
        <w:rPr>
          <w:rFonts w:cs="Times New Roman"/>
          <w:lang w:val="en-US"/>
        </w:rPr>
        <w:t>studies for</w:t>
      </w:r>
      <w:r w:rsidRPr="00733187">
        <w:rPr>
          <w:rFonts w:cs="Times New Roman"/>
        </w:rPr>
        <w:t xml:space="preserve"> </w:t>
      </w:r>
      <w:proofErr w:type="spellStart"/>
      <w:r w:rsidRPr="00733187">
        <w:rPr>
          <w:rFonts w:cs="Times New Roman"/>
        </w:rPr>
        <w:t>Mphil</w:t>
      </w:r>
      <w:proofErr w:type="spellEnd"/>
      <w:r w:rsidRPr="00733187">
        <w:rPr>
          <w:rFonts w:cs="Times New Roman"/>
        </w:rPr>
        <w:t>/</w:t>
      </w:r>
      <w:proofErr w:type="spellStart"/>
      <w:r w:rsidRPr="00733187">
        <w:rPr>
          <w:rFonts w:cs="Times New Roman"/>
        </w:rPr>
        <w:t>PhD</w:t>
      </w:r>
      <w:proofErr w:type="spellEnd"/>
      <w:r w:rsidRPr="00733187">
        <w:rPr>
          <w:rFonts w:cs="Times New Roman"/>
        </w:rPr>
        <w:t xml:space="preserve"> </w:t>
      </w:r>
      <w:r w:rsidRPr="00733187">
        <w:rPr>
          <w:rFonts w:cs="Times New Roman"/>
          <w:lang w:val="en-US"/>
        </w:rPr>
        <w:t>at</w:t>
      </w:r>
      <w:r w:rsidRPr="00733187">
        <w:rPr>
          <w:rFonts w:cs="Times New Roman"/>
        </w:rPr>
        <w:t xml:space="preserve"> </w:t>
      </w:r>
      <w:r w:rsidRPr="00733187">
        <w:rPr>
          <w:rFonts w:cs="Times New Roman"/>
          <w:lang w:val="en-US"/>
        </w:rPr>
        <w:t xml:space="preserve">the same </w:t>
      </w:r>
      <w:proofErr w:type="spellStart"/>
      <w:r w:rsidRPr="00733187">
        <w:rPr>
          <w:rFonts w:cs="Times New Roman"/>
        </w:rPr>
        <w:t>University</w:t>
      </w:r>
      <w:proofErr w:type="spellEnd"/>
      <w:r w:rsidRPr="00733187">
        <w:rPr>
          <w:rFonts w:cs="Times New Roman"/>
        </w:rPr>
        <w:t xml:space="preserve">.    </w:t>
      </w:r>
      <w:r w:rsidRPr="00733187">
        <w:rPr>
          <w:rFonts w:cs="Times New Roman"/>
        </w:rPr>
        <w:br/>
      </w:r>
    </w:p>
    <w:p w14:paraId="2F37A757" w14:textId="77777777" w:rsidR="00CD0BAC" w:rsidRDefault="006A7AA4" w:rsidP="00CD0BAC">
      <w:pPr>
        <w:rPr>
          <w:rFonts w:cs="Times New Roman"/>
          <w:lang w:val="en-US"/>
        </w:rPr>
      </w:pPr>
      <w:r w:rsidRPr="00733187">
        <w:rPr>
          <w:rFonts w:cs="Times New Roman"/>
          <w:b/>
          <w:bCs/>
          <w:lang w:val="en-US"/>
        </w:rPr>
        <w:t xml:space="preserve">Presenting author details </w:t>
      </w:r>
      <w:r w:rsidRPr="00733187">
        <w:rPr>
          <w:rFonts w:cs="Times New Roman"/>
          <w:lang w:val="en-US"/>
        </w:rPr>
        <w:br/>
      </w:r>
      <w:r w:rsidRPr="00733187">
        <w:rPr>
          <w:rFonts w:cs="Times New Roman"/>
          <w:lang w:val="en-US"/>
        </w:rPr>
        <w:t>Full name: Deema Sabir</w:t>
      </w:r>
      <w:r w:rsidRPr="00733187">
        <w:rPr>
          <w:rFonts w:cs="Times New Roman"/>
          <w:lang w:val="en-US"/>
        </w:rPr>
        <w:br/>
      </w:r>
      <w:r w:rsidRPr="00733187">
        <w:rPr>
          <w:rFonts w:cs="Times New Roman"/>
          <w:lang w:val="en-US"/>
        </w:rPr>
        <w:t>Contact n</w:t>
      </w:r>
      <w:r w:rsidRPr="00733187">
        <w:rPr>
          <w:rFonts w:cs="Times New Roman"/>
          <w:lang w:val="en-US"/>
        </w:rPr>
        <w:t>umber: +44 (0)7482020438</w:t>
      </w:r>
    </w:p>
    <w:p w14:paraId="0EB239A5" w14:textId="051B86B9" w:rsidR="00F84F25" w:rsidRPr="00CD0BAC" w:rsidRDefault="006A7AA4" w:rsidP="00CD0BAC">
      <w:pPr>
        <w:rPr>
          <w:rFonts w:cs="Times New Roman"/>
          <w:b/>
          <w:bCs/>
          <w:lang w:val="en-US"/>
        </w:rPr>
      </w:pPr>
      <w:r w:rsidRPr="00CD0BAC">
        <w:rPr>
          <w:rFonts w:cs="Times New Roman"/>
          <w:lang w:val="en-US"/>
        </w:rPr>
        <w:t>Session name/ number:</w:t>
      </w:r>
      <w:r w:rsidR="00CD0BAC" w:rsidRPr="00CD0BAC">
        <w:rPr>
          <w:b/>
          <w:bCs/>
          <w:color w:val="333333"/>
        </w:rPr>
        <w:t xml:space="preserve"> </w:t>
      </w:r>
      <w:r w:rsidR="00CD0BAC" w:rsidRPr="00CD0BAC">
        <w:rPr>
          <w:color w:val="333333"/>
        </w:rPr>
        <w:t>15</w:t>
      </w:r>
      <w:r w:rsidR="00CD0BAC" w:rsidRPr="00CD0BAC">
        <w:rPr>
          <w:color w:val="333333"/>
          <w:vertAlign w:val="superscript"/>
        </w:rPr>
        <w:t>th</w:t>
      </w:r>
      <w:r w:rsidR="00CD0BAC" w:rsidRPr="00CD0BAC">
        <w:rPr>
          <w:color w:val="333333"/>
        </w:rPr>
        <w:t> World Hematology &amp; Immunology </w:t>
      </w:r>
      <w:r w:rsidRPr="00733187">
        <w:rPr>
          <w:rFonts w:cs="Times New Roman"/>
          <w:lang w:val="en-US"/>
        </w:rPr>
        <w:br/>
      </w:r>
      <w:r w:rsidRPr="00733187">
        <w:rPr>
          <w:rFonts w:cs="Times New Roman"/>
          <w:lang w:val="en-US"/>
        </w:rPr>
        <w:t xml:space="preserve">Category: (Oral presentation/ </w:t>
      </w:r>
      <w:r w:rsidRPr="00CD0BAC">
        <w:rPr>
          <w:rFonts w:cs="Times New Roman"/>
          <w:b/>
          <w:bCs/>
          <w:highlight w:val="yellow"/>
          <w:u w:val="single"/>
          <w:lang w:val="en-US"/>
        </w:rPr>
        <w:t>Poster presentation</w:t>
      </w:r>
      <w:r w:rsidRPr="00733187">
        <w:rPr>
          <w:rFonts w:cs="Times New Roman"/>
          <w:lang w:val="en-US"/>
        </w:rPr>
        <w:t>)</w:t>
      </w:r>
      <w:r w:rsidRPr="00733187">
        <w:rPr>
          <w:rFonts w:cs="Times New Roman"/>
          <w:lang w:val="en-US"/>
        </w:rPr>
        <w:br/>
      </w:r>
    </w:p>
    <w:p w14:paraId="665A35DC" w14:textId="77777777" w:rsidR="00F84F25" w:rsidRDefault="00F84F25">
      <w:pPr>
        <w:pStyle w:val="BodyText"/>
        <w:spacing w:after="240"/>
        <w:jc w:val="both"/>
        <w:rPr>
          <w:rFonts w:ascii="Arial" w:eastAsia="Arial" w:hAnsi="Arial" w:cs="Arial"/>
        </w:rPr>
      </w:pPr>
    </w:p>
    <w:p w14:paraId="7F8A905C" w14:textId="77777777" w:rsidR="00F84F25" w:rsidRDefault="006A7AA4">
      <w:pPr>
        <w:rPr>
          <w:rFonts w:ascii="Arial" w:eastAsia="Arial" w:hAnsi="Arial" w:cs="Arial"/>
          <w:lang w:val="en-US"/>
        </w:rPr>
      </w:pPr>
      <w:r>
        <w:rPr>
          <w:rFonts w:ascii="Arial" w:hAnsi="Arial"/>
          <w:lang w:val="en-US"/>
        </w:rPr>
        <w:t xml:space="preserve"> </w:t>
      </w:r>
      <w:bookmarkStart w:id="0" w:name="_GoBack"/>
      <w:bookmarkEnd w:id="0"/>
    </w:p>
    <w:sectPr w:rsidR="00F84F25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851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CE41D" w14:textId="77777777" w:rsidR="006A7AA4" w:rsidRDefault="006A7AA4">
      <w:r>
        <w:separator/>
      </w:r>
    </w:p>
  </w:endnote>
  <w:endnote w:type="continuationSeparator" w:id="0">
    <w:p w14:paraId="5CDB0D98" w14:textId="77777777" w:rsidR="006A7AA4" w:rsidRDefault="006A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EE8572" w14:textId="77777777" w:rsidR="00F84F25" w:rsidRDefault="00F84F25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C0516" w14:textId="77777777" w:rsidR="00F84F25" w:rsidRDefault="00F84F25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91C7E4" w14:textId="77777777" w:rsidR="006A7AA4" w:rsidRDefault="006A7AA4">
      <w:r>
        <w:separator/>
      </w:r>
    </w:p>
  </w:footnote>
  <w:footnote w:type="continuationSeparator" w:id="0">
    <w:p w14:paraId="6955A33D" w14:textId="77777777" w:rsidR="006A7AA4" w:rsidRDefault="006A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1EEA6E" w14:textId="77777777" w:rsidR="00F84F25" w:rsidRDefault="00F84F25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DB77" w14:textId="77777777" w:rsidR="00F84F25" w:rsidRDefault="00F84F25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F25"/>
    <w:rsid w:val="001622C7"/>
    <w:rsid w:val="004D592F"/>
    <w:rsid w:val="006A7AA4"/>
    <w:rsid w:val="00733187"/>
    <w:rsid w:val="007634BA"/>
    <w:rsid w:val="00824DEC"/>
    <w:rsid w:val="00842A1F"/>
    <w:rsid w:val="009C67B0"/>
    <w:rsid w:val="00AD1F76"/>
    <w:rsid w:val="00CD0BAC"/>
    <w:rsid w:val="00D60BD8"/>
    <w:rsid w:val="00D94844"/>
    <w:rsid w:val="00E36EC2"/>
    <w:rsid w:val="00E84379"/>
    <w:rsid w:val="00EB6320"/>
    <w:rsid w:val="00F43CEF"/>
    <w:rsid w:val="00F8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2741A"/>
  <w15:docId w15:val="{F78B92C7-E459-AC4F-9E9C-19EDFFA8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Arial Unicode MS"/>
      <w:color w:val="000000"/>
      <w:sz w:val="24"/>
      <w:szCs w:val="24"/>
      <w:u w:color="000000"/>
      <w:lang w:val="it-IT"/>
    </w:rPr>
  </w:style>
  <w:style w:type="paragraph" w:styleId="Heading2">
    <w:name w:val="heading 2"/>
    <w:basedOn w:val="Normal"/>
    <w:link w:val="Heading2Char"/>
    <w:uiPriority w:val="9"/>
    <w:qFormat/>
    <w:rsid w:val="00CD0BA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 w:cs="Times New Roman"/>
      <w:b/>
      <w:bCs/>
      <w:color w:val="auto"/>
      <w:sz w:val="36"/>
      <w:szCs w:val="36"/>
      <w:bdr w:val="none" w:sz="0" w:space="0" w:color="au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BodyText">
    <w:name w:val="Body Text"/>
    <w:pPr>
      <w:suppressAutoHyphens/>
      <w:jc w:val="center"/>
    </w:pPr>
    <w:rPr>
      <w:rFonts w:cs="Arial Unicode MS"/>
      <w:color w:val="000000"/>
      <w:sz w:val="24"/>
      <w:szCs w:val="24"/>
      <w:u w:color="000000"/>
    </w:rPr>
  </w:style>
  <w:style w:type="character" w:customStyle="1" w:styleId="Heading2Char">
    <w:name w:val="Heading 2 Char"/>
    <w:basedOn w:val="DefaultParagraphFont"/>
    <w:link w:val="Heading2"/>
    <w:uiPriority w:val="9"/>
    <w:rsid w:val="00CD0BAC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apple-converted-space">
    <w:name w:val="apple-converted-space"/>
    <w:basedOn w:val="DefaultParagraphFont"/>
    <w:rsid w:val="00CD0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5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Deema Sabir</cp:lastModifiedBy>
  <cp:revision>6</cp:revision>
  <dcterms:created xsi:type="dcterms:W3CDTF">2018-09-13T17:40:00Z</dcterms:created>
  <dcterms:modified xsi:type="dcterms:W3CDTF">2018-09-13T21:10:00Z</dcterms:modified>
</cp:coreProperties>
</file>