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20A" w:rsidRDefault="00DF62D3" w:rsidP="0088320A">
      <w:pPr>
        <w:spacing w:after="0" w:line="20" w:lineRule="atLeast"/>
        <w:jc w:val="center"/>
        <w:rPr>
          <w:rFonts w:cs="Tahoma"/>
          <w:b/>
          <w:bCs/>
          <w:sz w:val="28"/>
        </w:rPr>
      </w:pPr>
      <w:r w:rsidRPr="0088320A">
        <w:rPr>
          <w:rFonts w:cs="Tahoma"/>
          <w:b/>
          <w:bCs/>
          <w:sz w:val="28"/>
        </w:rPr>
        <w:t>Report of Wasted Blood Products, Blood Transfusion Centre,</w:t>
      </w:r>
    </w:p>
    <w:p w:rsidR="00EA62D6" w:rsidRPr="0088320A" w:rsidRDefault="00DF62D3" w:rsidP="0088320A">
      <w:pPr>
        <w:spacing w:after="0" w:line="20" w:lineRule="atLeast"/>
        <w:jc w:val="center"/>
        <w:rPr>
          <w:rFonts w:cs="Tahoma"/>
          <w:b/>
          <w:bCs/>
          <w:sz w:val="28"/>
        </w:rPr>
      </w:pPr>
      <w:r w:rsidRPr="0088320A">
        <w:rPr>
          <w:rFonts w:cs="Tahoma"/>
          <w:b/>
          <w:bCs/>
          <w:sz w:val="28"/>
        </w:rPr>
        <w:t>Faculty of Medicine, Khon Kaen University, Thailand</w:t>
      </w:r>
    </w:p>
    <w:p w:rsidR="00DF62D3" w:rsidRPr="0088320A" w:rsidRDefault="00DF62D3" w:rsidP="0088320A">
      <w:pPr>
        <w:shd w:val="clear" w:color="auto" w:fill="FFFFFF"/>
        <w:spacing w:after="0" w:line="20" w:lineRule="atLeast"/>
        <w:jc w:val="thaiDistribute"/>
        <w:textAlignment w:val="baseline"/>
        <w:outlineLvl w:val="0"/>
        <w:rPr>
          <w:rFonts w:eastAsia="Times New Roman" w:cs="Tahoma"/>
          <w:b/>
          <w:bCs/>
          <w:color w:val="111111"/>
          <w:kern w:val="36"/>
          <w:sz w:val="36"/>
          <w:szCs w:val="36"/>
        </w:rPr>
      </w:pPr>
    </w:p>
    <w:p w:rsidR="00DF62D3" w:rsidRPr="0088320A" w:rsidRDefault="00DF62D3" w:rsidP="0088320A">
      <w:pPr>
        <w:shd w:val="clear" w:color="auto" w:fill="FFFFFF"/>
        <w:spacing w:after="0" w:line="20" w:lineRule="atLeast"/>
        <w:jc w:val="thaiDistribute"/>
        <w:textAlignment w:val="baseline"/>
        <w:outlineLvl w:val="0"/>
        <w:rPr>
          <w:rFonts w:eastAsia="Times New Roman" w:cs="Tahoma"/>
          <w:color w:val="111111"/>
          <w:kern w:val="36"/>
          <w:sz w:val="20"/>
          <w:szCs w:val="20"/>
        </w:rPr>
      </w:pPr>
      <w:proofErr w:type="spellStart"/>
      <w:r w:rsidRPr="0088320A">
        <w:rPr>
          <w:rFonts w:eastAsia="Times New Roman" w:cs="Tahoma"/>
          <w:b/>
          <w:bCs/>
          <w:color w:val="111111"/>
          <w:kern w:val="36"/>
          <w:sz w:val="20"/>
          <w:szCs w:val="20"/>
        </w:rPr>
        <w:t>Uthenas</w:t>
      </w:r>
      <w:proofErr w:type="spellEnd"/>
      <w:r w:rsidRPr="0088320A">
        <w:rPr>
          <w:rFonts w:eastAsia="Times New Roman" w:cs="Tahoma"/>
          <w:b/>
          <w:bCs/>
          <w:color w:val="111111"/>
          <w:kern w:val="36"/>
          <w:sz w:val="20"/>
          <w:szCs w:val="20"/>
        </w:rPr>
        <w:t xml:space="preserve"> Larseang</w:t>
      </w:r>
      <w:r w:rsidRPr="0088320A">
        <w:rPr>
          <w:rFonts w:eastAsia="Times New Roman" w:cs="Tahoma"/>
          <w:b/>
          <w:bCs/>
          <w:color w:val="111111"/>
          <w:kern w:val="36"/>
          <w:sz w:val="20"/>
          <w:szCs w:val="20"/>
          <w:vertAlign w:val="superscript"/>
        </w:rPr>
        <w:t>1</w:t>
      </w:r>
      <w:r w:rsidRPr="0088320A">
        <w:rPr>
          <w:rFonts w:eastAsia="Times New Roman" w:cs="Tahoma"/>
          <w:color w:val="111111"/>
          <w:kern w:val="36"/>
          <w:sz w:val="20"/>
          <w:szCs w:val="20"/>
        </w:rPr>
        <w:t xml:space="preserve">, </w:t>
      </w:r>
      <w:proofErr w:type="spellStart"/>
      <w:r w:rsidRPr="0088320A">
        <w:rPr>
          <w:rFonts w:eastAsia="Times New Roman" w:cs="Tahoma"/>
          <w:color w:val="111111"/>
          <w:kern w:val="36"/>
          <w:sz w:val="20"/>
          <w:szCs w:val="20"/>
        </w:rPr>
        <w:t>Jongkol</w:t>
      </w:r>
      <w:proofErr w:type="spellEnd"/>
      <w:r w:rsidRPr="0088320A">
        <w:rPr>
          <w:rFonts w:eastAsia="Times New Roman" w:cs="Tahoma"/>
          <w:color w:val="111111"/>
          <w:kern w:val="36"/>
          <w:sz w:val="20"/>
          <w:szCs w:val="20"/>
        </w:rPr>
        <w:t xml:space="preserve"> </w:t>
      </w:r>
      <w:proofErr w:type="spellStart"/>
      <w:r w:rsidRPr="0088320A">
        <w:rPr>
          <w:rFonts w:eastAsia="Times New Roman" w:cs="Tahoma"/>
          <w:color w:val="111111"/>
          <w:kern w:val="36"/>
          <w:sz w:val="20"/>
          <w:szCs w:val="20"/>
        </w:rPr>
        <w:t>Akkahat</w:t>
      </w:r>
      <w:proofErr w:type="spellEnd"/>
      <w:r w:rsidRPr="0088320A">
        <w:rPr>
          <w:rFonts w:eastAsia="Times New Roman" w:cs="Tahoma"/>
          <w:color w:val="111111"/>
          <w:kern w:val="36"/>
          <w:sz w:val="20"/>
          <w:szCs w:val="20"/>
        </w:rPr>
        <w:t xml:space="preserve"> </w:t>
      </w:r>
      <w:r w:rsidRPr="0088320A">
        <w:rPr>
          <w:rFonts w:eastAsia="Times New Roman" w:cs="Tahoma"/>
          <w:color w:val="111111"/>
          <w:kern w:val="36"/>
          <w:sz w:val="20"/>
          <w:szCs w:val="20"/>
          <w:vertAlign w:val="superscript"/>
        </w:rPr>
        <w:t>1</w:t>
      </w:r>
      <w:r w:rsidRPr="0088320A">
        <w:rPr>
          <w:rFonts w:eastAsia="Times New Roman" w:cs="Tahoma"/>
          <w:color w:val="111111"/>
          <w:kern w:val="36"/>
          <w:sz w:val="20"/>
          <w:szCs w:val="20"/>
        </w:rPr>
        <w:t xml:space="preserve">, </w:t>
      </w:r>
      <w:proofErr w:type="spellStart"/>
      <w:r w:rsidRPr="0088320A">
        <w:rPr>
          <w:rFonts w:eastAsia="Times New Roman" w:cs="Tahoma"/>
          <w:color w:val="111111"/>
          <w:kern w:val="36"/>
          <w:sz w:val="20"/>
          <w:szCs w:val="20"/>
        </w:rPr>
        <w:t>Nuanchan</w:t>
      </w:r>
      <w:proofErr w:type="spellEnd"/>
      <w:r w:rsidRPr="0088320A">
        <w:rPr>
          <w:rFonts w:eastAsia="Times New Roman" w:cs="Tahoma"/>
          <w:color w:val="111111"/>
          <w:kern w:val="36"/>
          <w:sz w:val="20"/>
          <w:szCs w:val="20"/>
        </w:rPr>
        <w:t xml:space="preserve"> </w:t>
      </w:r>
      <w:proofErr w:type="spellStart"/>
      <w:r w:rsidRPr="0088320A">
        <w:rPr>
          <w:rFonts w:eastAsia="Times New Roman" w:cs="Tahoma"/>
          <w:color w:val="111111"/>
          <w:kern w:val="36"/>
          <w:sz w:val="20"/>
          <w:szCs w:val="20"/>
        </w:rPr>
        <w:t>Mungkhunkhamchaw</w:t>
      </w:r>
      <w:proofErr w:type="spellEnd"/>
      <w:r w:rsidRPr="0088320A">
        <w:rPr>
          <w:rFonts w:eastAsia="Times New Roman" w:cs="Tahoma"/>
          <w:color w:val="111111"/>
          <w:kern w:val="36"/>
          <w:sz w:val="20"/>
          <w:szCs w:val="20"/>
        </w:rPr>
        <w:t xml:space="preserve">, </w:t>
      </w:r>
      <w:proofErr w:type="spellStart"/>
      <w:r w:rsidRPr="0088320A">
        <w:rPr>
          <w:rFonts w:eastAsia="Times New Roman" w:cs="Tahoma"/>
          <w:color w:val="111111"/>
          <w:kern w:val="36"/>
          <w:sz w:val="20"/>
          <w:szCs w:val="20"/>
        </w:rPr>
        <w:t>Thipaporn</w:t>
      </w:r>
      <w:proofErr w:type="spellEnd"/>
      <w:r w:rsidRPr="0088320A">
        <w:rPr>
          <w:rFonts w:eastAsia="Times New Roman" w:cs="Tahoma"/>
          <w:color w:val="111111"/>
          <w:kern w:val="36"/>
          <w:sz w:val="20"/>
          <w:szCs w:val="20"/>
        </w:rPr>
        <w:t xml:space="preserve"> </w:t>
      </w:r>
      <w:proofErr w:type="spellStart"/>
      <w:r w:rsidRPr="0088320A">
        <w:rPr>
          <w:rFonts w:eastAsia="Times New Roman" w:cs="Tahoma"/>
          <w:color w:val="111111"/>
          <w:kern w:val="36"/>
          <w:sz w:val="20"/>
          <w:szCs w:val="20"/>
        </w:rPr>
        <w:t>Jaroonsirimaneekul</w:t>
      </w:r>
      <w:proofErr w:type="spellEnd"/>
      <w:r w:rsidRPr="0088320A">
        <w:rPr>
          <w:rFonts w:eastAsia="Times New Roman" w:cs="Tahoma"/>
          <w:color w:val="111111"/>
          <w:kern w:val="36"/>
          <w:sz w:val="20"/>
          <w:szCs w:val="20"/>
        </w:rPr>
        <w:t xml:space="preserve">, </w:t>
      </w:r>
    </w:p>
    <w:p w:rsidR="00DF62D3" w:rsidRPr="0088320A" w:rsidRDefault="00DF62D3" w:rsidP="0088320A">
      <w:pPr>
        <w:shd w:val="clear" w:color="auto" w:fill="FFFFFF"/>
        <w:spacing w:after="0" w:line="20" w:lineRule="atLeast"/>
        <w:jc w:val="thaiDistribute"/>
        <w:textAlignment w:val="baseline"/>
        <w:outlineLvl w:val="0"/>
        <w:rPr>
          <w:rFonts w:eastAsia="Times New Roman" w:cs="Tahoma"/>
          <w:color w:val="111111"/>
          <w:kern w:val="36"/>
          <w:sz w:val="20"/>
          <w:szCs w:val="20"/>
        </w:rPr>
      </w:pPr>
      <w:proofErr w:type="spellStart"/>
      <w:r w:rsidRPr="0088320A">
        <w:rPr>
          <w:rFonts w:eastAsia="Times New Roman" w:cs="Tahoma"/>
          <w:color w:val="111111"/>
          <w:kern w:val="36"/>
          <w:sz w:val="20"/>
          <w:szCs w:val="20"/>
        </w:rPr>
        <w:t>Kutcharin</w:t>
      </w:r>
      <w:proofErr w:type="spellEnd"/>
      <w:r w:rsidRPr="0088320A">
        <w:rPr>
          <w:rFonts w:eastAsia="Times New Roman" w:cs="Tahoma"/>
          <w:color w:val="111111"/>
          <w:kern w:val="36"/>
          <w:sz w:val="20"/>
          <w:szCs w:val="20"/>
        </w:rPr>
        <w:t xml:space="preserve"> </w:t>
      </w:r>
      <w:proofErr w:type="spellStart"/>
      <w:r w:rsidRPr="0088320A">
        <w:rPr>
          <w:rFonts w:eastAsia="Times New Roman" w:cs="Tahoma"/>
          <w:color w:val="111111"/>
          <w:kern w:val="36"/>
          <w:sz w:val="20"/>
          <w:szCs w:val="20"/>
        </w:rPr>
        <w:t>Phunikom</w:t>
      </w:r>
      <w:proofErr w:type="spellEnd"/>
      <w:r w:rsidRPr="0088320A">
        <w:rPr>
          <w:rFonts w:eastAsia="Times New Roman" w:cs="Tahoma"/>
          <w:color w:val="111111"/>
          <w:kern w:val="36"/>
          <w:sz w:val="20"/>
          <w:szCs w:val="20"/>
        </w:rPr>
        <w:t xml:space="preserve"> </w:t>
      </w:r>
      <w:r w:rsidRPr="0088320A">
        <w:rPr>
          <w:rFonts w:eastAsia="Times New Roman" w:cs="Tahoma"/>
          <w:color w:val="111111"/>
          <w:kern w:val="36"/>
          <w:sz w:val="20"/>
          <w:szCs w:val="20"/>
          <w:vertAlign w:val="superscript"/>
        </w:rPr>
        <w:t>1</w:t>
      </w:r>
      <w:proofErr w:type="gramStart"/>
      <w:r w:rsidRPr="0088320A">
        <w:rPr>
          <w:rFonts w:eastAsia="Times New Roman" w:cs="Tahoma"/>
          <w:color w:val="111111"/>
          <w:kern w:val="36"/>
          <w:sz w:val="20"/>
          <w:szCs w:val="20"/>
          <w:vertAlign w:val="superscript"/>
        </w:rPr>
        <w:t>,2</w:t>
      </w:r>
      <w:proofErr w:type="gramEnd"/>
    </w:p>
    <w:p w:rsidR="00DF62D3" w:rsidRPr="0088320A" w:rsidRDefault="006D03F6" w:rsidP="006D03F6">
      <w:pPr>
        <w:shd w:val="clear" w:color="auto" w:fill="FFFFFF"/>
        <w:spacing w:after="0" w:line="20" w:lineRule="atLeast"/>
        <w:ind w:left="1440"/>
        <w:jc w:val="thaiDistribute"/>
        <w:textAlignment w:val="baseline"/>
        <w:outlineLvl w:val="0"/>
        <w:rPr>
          <w:rFonts w:eastAsia="Times New Roman" w:cs="Tahoma"/>
          <w:color w:val="111111"/>
          <w:kern w:val="36"/>
          <w:sz w:val="20"/>
          <w:szCs w:val="20"/>
        </w:rPr>
      </w:pPr>
      <w:r>
        <w:rPr>
          <w:rFonts w:eastAsia="Times New Roman" w:cs="Tahoma"/>
          <w:color w:val="111111"/>
          <w:kern w:val="36"/>
          <w:sz w:val="20"/>
          <w:szCs w:val="20"/>
          <w:vertAlign w:val="superscript"/>
        </w:rPr>
        <w:t xml:space="preserve">     </w:t>
      </w:r>
      <w:r w:rsidR="00DF62D3" w:rsidRPr="0088320A">
        <w:rPr>
          <w:rFonts w:eastAsia="Times New Roman" w:cs="Tahoma"/>
          <w:color w:val="111111"/>
          <w:kern w:val="36"/>
          <w:sz w:val="20"/>
          <w:szCs w:val="20"/>
          <w:vertAlign w:val="superscript"/>
        </w:rPr>
        <w:t>1</w:t>
      </w:r>
      <w:r w:rsidR="00DF62D3" w:rsidRPr="0088320A">
        <w:rPr>
          <w:rFonts w:eastAsia="Times New Roman" w:cs="Tahoma"/>
          <w:color w:val="111111"/>
          <w:kern w:val="36"/>
          <w:sz w:val="20"/>
          <w:szCs w:val="20"/>
        </w:rPr>
        <w:t xml:space="preserve"> Blood Transfusion Center, Faculty of Medicine, Khon Kaen University 40002</w:t>
      </w:r>
      <w:proofErr w:type="gramStart"/>
      <w:r w:rsidR="00DF62D3" w:rsidRPr="0088320A">
        <w:rPr>
          <w:rFonts w:eastAsia="Times New Roman" w:cs="Tahoma"/>
          <w:color w:val="111111"/>
          <w:kern w:val="36"/>
          <w:sz w:val="20"/>
          <w:szCs w:val="20"/>
        </w:rPr>
        <w:t>,Thailand</w:t>
      </w:r>
      <w:proofErr w:type="gramEnd"/>
    </w:p>
    <w:p w:rsidR="00DF62D3" w:rsidRPr="0088320A" w:rsidRDefault="00DF62D3" w:rsidP="0088320A">
      <w:pPr>
        <w:spacing w:after="0" w:line="20" w:lineRule="atLeast"/>
        <w:ind w:left="720" w:firstLine="720"/>
        <w:jc w:val="thaiDistribute"/>
        <w:rPr>
          <w:rFonts w:cs="Tahoma"/>
          <w:sz w:val="20"/>
          <w:szCs w:val="20"/>
        </w:rPr>
      </w:pPr>
      <w:r w:rsidRPr="0088320A">
        <w:rPr>
          <w:rFonts w:cs="Tahoma"/>
          <w:sz w:val="20"/>
          <w:szCs w:val="20"/>
        </w:rPr>
        <w:t xml:space="preserve">    </w:t>
      </w:r>
      <w:r w:rsidRPr="0088320A">
        <w:rPr>
          <w:rFonts w:cs="Tahoma"/>
          <w:sz w:val="20"/>
          <w:szCs w:val="20"/>
          <w:vertAlign w:val="superscript"/>
        </w:rPr>
        <w:t xml:space="preserve">2 </w:t>
      </w:r>
      <w:r w:rsidRPr="0088320A">
        <w:rPr>
          <w:rFonts w:cs="Tahoma"/>
          <w:sz w:val="20"/>
          <w:szCs w:val="20"/>
        </w:rPr>
        <w:t>Departments of Pharmacology, Faculty of Medicine, Khon Kaen University, Khon Kaen 40002, Thailand</w:t>
      </w:r>
    </w:p>
    <w:p w:rsidR="00DF62D3" w:rsidRPr="0088320A" w:rsidRDefault="00DF62D3" w:rsidP="0088320A">
      <w:pPr>
        <w:spacing w:after="120" w:line="20" w:lineRule="atLeast"/>
        <w:jc w:val="thaiDistribute"/>
        <w:rPr>
          <w:rFonts w:cs="Tahoma"/>
          <w:sz w:val="24"/>
          <w:szCs w:val="24"/>
        </w:rPr>
      </w:pPr>
    </w:p>
    <w:p w:rsidR="00DF62D3" w:rsidRPr="0088320A" w:rsidRDefault="00DF62D3" w:rsidP="00CF0DB4">
      <w:pPr>
        <w:spacing w:after="120" w:line="20" w:lineRule="atLeast"/>
        <w:jc w:val="thaiDistribute"/>
        <w:rPr>
          <w:rFonts w:cs="Tahoma"/>
          <w:sz w:val="24"/>
          <w:szCs w:val="24"/>
        </w:rPr>
      </w:pPr>
      <w:r w:rsidRPr="0088320A">
        <w:rPr>
          <w:rFonts w:cs="Tahoma"/>
          <w:b/>
          <w:bCs/>
          <w:sz w:val="24"/>
          <w:szCs w:val="24"/>
        </w:rPr>
        <w:t>Introduction</w:t>
      </w:r>
      <w:r w:rsidRPr="0088320A">
        <w:rPr>
          <w:rFonts w:cs="Tahoma"/>
          <w:sz w:val="24"/>
          <w:szCs w:val="24"/>
        </w:rPr>
        <w:t>: Cost-effective transfusion services have to serious</w:t>
      </w:r>
      <w:r w:rsidR="00CF0DB4">
        <w:rPr>
          <w:rFonts w:cs="Tahoma"/>
          <w:sz w:val="24"/>
          <w:szCs w:val="24"/>
        </w:rPr>
        <w:t>ly</w:t>
      </w:r>
      <w:r w:rsidRPr="0088320A">
        <w:rPr>
          <w:rFonts w:cs="Tahoma"/>
          <w:sz w:val="24"/>
          <w:szCs w:val="24"/>
        </w:rPr>
        <w:t xml:space="preserve"> consider</w:t>
      </w:r>
      <w:r w:rsidR="00CF0DB4">
        <w:rPr>
          <w:rFonts w:cs="Tahoma"/>
          <w:sz w:val="24"/>
          <w:szCs w:val="24"/>
        </w:rPr>
        <w:t>. One of these services is</w:t>
      </w:r>
      <w:r w:rsidR="0088320A" w:rsidRPr="0088320A">
        <w:rPr>
          <w:rFonts w:cs="Tahoma"/>
          <w:sz w:val="24"/>
          <w:szCs w:val="24"/>
        </w:rPr>
        <w:t xml:space="preserve"> expired blood product waste</w:t>
      </w:r>
      <w:r w:rsidR="00CF0DB4">
        <w:rPr>
          <w:rFonts w:cs="Tahoma"/>
          <w:sz w:val="24"/>
          <w:szCs w:val="24"/>
        </w:rPr>
        <w:t xml:space="preserve"> or</w:t>
      </w:r>
      <w:r w:rsidR="0088320A" w:rsidRPr="0088320A">
        <w:rPr>
          <w:rFonts w:cs="Tahoma"/>
          <w:sz w:val="24"/>
          <w:szCs w:val="24"/>
        </w:rPr>
        <w:t xml:space="preserve"> the discard rate from abnormal appearance such as breakage of blood components bag</w:t>
      </w:r>
      <w:r w:rsidR="00CF0DB4">
        <w:rPr>
          <w:rFonts w:cs="Tahoma"/>
          <w:sz w:val="24"/>
          <w:szCs w:val="24"/>
        </w:rPr>
        <w:t xml:space="preserve"> which is</w:t>
      </w:r>
      <w:r w:rsidR="0088320A" w:rsidRPr="0088320A">
        <w:rPr>
          <w:rFonts w:cs="Tahoma"/>
          <w:sz w:val="24"/>
          <w:szCs w:val="24"/>
        </w:rPr>
        <w:t xml:space="preserve"> under or lower whole blood volume collection. Wasted blood components result in significant </w:t>
      </w:r>
      <w:r w:rsidR="00CF0DB4">
        <w:rPr>
          <w:rFonts w:cs="Tahoma"/>
          <w:sz w:val="24"/>
          <w:szCs w:val="24"/>
        </w:rPr>
        <w:t>losing of the</w:t>
      </w:r>
      <w:r w:rsidR="0088320A" w:rsidRPr="0088320A">
        <w:rPr>
          <w:rFonts w:cs="Tahoma"/>
          <w:sz w:val="24"/>
          <w:szCs w:val="24"/>
        </w:rPr>
        <w:t xml:space="preserve"> budget. The problems should be analyze and warning.  </w:t>
      </w:r>
    </w:p>
    <w:p w:rsidR="00DF62D3" w:rsidRPr="0088320A" w:rsidRDefault="00DF62D3" w:rsidP="0088320A">
      <w:pPr>
        <w:spacing w:after="120" w:line="20" w:lineRule="atLeast"/>
        <w:jc w:val="thaiDistribute"/>
        <w:rPr>
          <w:rFonts w:cs="Tahoma"/>
          <w:sz w:val="24"/>
          <w:szCs w:val="24"/>
        </w:rPr>
      </w:pPr>
    </w:p>
    <w:p w:rsidR="00DF62D3" w:rsidRDefault="00DF62D3" w:rsidP="00CF0DB4">
      <w:pPr>
        <w:spacing w:after="120" w:line="20" w:lineRule="atLeast"/>
        <w:jc w:val="thaiDistribute"/>
        <w:rPr>
          <w:rFonts w:cs="Tahoma"/>
          <w:sz w:val="24"/>
          <w:szCs w:val="24"/>
        </w:rPr>
      </w:pPr>
      <w:r w:rsidRPr="0088320A">
        <w:rPr>
          <w:rFonts w:cs="Tahoma"/>
          <w:b/>
          <w:bCs/>
          <w:sz w:val="24"/>
          <w:szCs w:val="24"/>
        </w:rPr>
        <w:t>Objective</w:t>
      </w:r>
      <w:r w:rsidRPr="0088320A">
        <w:rPr>
          <w:rFonts w:cs="Tahoma"/>
          <w:sz w:val="24"/>
          <w:szCs w:val="24"/>
        </w:rPr>
        <w:t xml:space="preserve">: To determine the factors </w:t>
      </w:r>
      <w:r w:rsidR="00CF0DB4">
        <w:rPr>
          <w:rFonts w:cs="Tahoma"/>
          <w:sz w:val="24"/>
          <w:szCs w:val="24"/>
        </w:rPr>
        <w:t>involved</w:t>
      </w:r>
      <w:r w:rsidRPr="0088320A">
        <w:rPr>
          <w:rFonts w:cs="Tahoma"/>
          <w:sz w:val="24"/>
          <w:szCs w:val="24"/>
        </w:rPr>
        <w:t xml:space="preserve"> </w:t>
      </w:r>
      <w:r w:rsidR="00CF0DB4">
        <w:rPr>
          <w:rFonts w:cs="Tahoma"/>
          <w:sz w:val="24"/>
          <w:szCs w:val="24"/>
        </w:rPr>
        <w:t>in to</w:t>
      </w:r>
      <w:r w:rsidRPr="0088320A">
        <w:rPr>
          <w:rFonts w:cs="Tahoma"/>
          <w:sz w:val="24"/>
          <w:szCs w:val="24"/>
        </w:rPr>
        <w:t xml:space="preserve"> blood product waste in </w:t>
      </w:r>
      <w:proofErr w:type="spellStart"/>
      <w:r w:rsidRPr="0088320A">
        <w:rPr>
          <w:rFonts w:cs="Tahoma"/>
          <w:sz w:val="24"/>
          <w:szCs w:val="24"/>
        </w:rPr>
        <w:t>Srinagarind</w:t>
      </w:r>
      <w:proofErr w:type="spellEnd"/>
      <w:r w:rsidRPr="0088320A">
        <w:rPr>
          <w:rFonts w:cs="Tahoma"/>
          <w:sz w:val="24"/>
          <w:szCs w:val="24"/>
        </w:rPr>
        <w:t xml:space="preserve"> hospital (tertiary care </w:t>
      </w:r>
      <w:r w:rsidR="00CF0DB4">
        <w:rPr>
          <w:rFonts w:cs="Tahoma"/>
          <w:sz w:val="24"/>
          <w:szCs w:val="24"/>
        </w:rPr>
        <w:t>institute), Faculty of Medicine</w:t>
      </w:r>
      <w:r w:rsidRPr="0088320A">
        <w:rPr>
          <w:rFonts w:cs="Tahoma"/>
          <w:sz w:val="24"/>
          <w:szCs w:val="24"/>
        </w:rPr>
        <w:t xml:space="preserve">, </w:t>
      </w:r>
      <w:r w:rsidR="0088320A">
        <w:rPr>
          <w:rFonts w:cs="Tahoma"/>
          <w:sz w:val="24"/>
          <w:szCs w:val="24"/>
        </w:rPr>
        <w:t>Khon Kaen University, Thailand.</w:t>
      </w:r>
    </w:p>
    <w:p w:rsidR="0088320A" w:rsidRDefault="0088320A" w:rsidP="0088320A">
      <w:pPr>
        <w:spacing w:after="120" w:line="20" w:lineRule="atLeast"/>
        <w:jc w:val="thaiDistribute"/>
        <w:rPr>
          <w:rFonts w:cs="Tahoma"/>
          <w:sz w:val="24"/>
          <w:szCs w:val="24"/>
        </w:rPr>
      </w:pPr>
    </w:p>
    <w:p w:rsidR="0088320A" w:rsidRDefault="0088320A" w:rsidP="00CF0DB4">
      <w:pPr>
        <w:spacing w:after="120" w:line="20" w:lineRule="atLeast"/>
        <w:jc w:val="thaiDistribute"/>
        <w:rPr>
          <w:rFonts w:cs="Tahoma"/>
          <w:sz w:val="24"/>
          <w:szCs w:val="24"/>
        </w:rPr>
      </w:pPr>
      <w:r w:rsidRPr="0088320A">
        <w:rPr>
          <w:rFonts w:cs="Tahoma"/>
          <w:b/>
          <w:bCs/>
          <w:sz w:val="24"/>
          <w:szCs w:val="24"/>
        </w:rPr>
        <w:t>Method</w:t>
      </w:r>
      <w:r>
        <w:rPr>
          <w:rFonts w:cs="Tahoma"/>
          <w:b/>
          <w:bCs/>
          <w:sz w:val="24"/>
          <w:szCs w:val="24"/>
        </w:rPr>
        <w:t xml:space="preserve">: </w:t>
      </w:r>
      <w:r>
        <w:rPr>
          <w:rFonts w:cs="Tahoma"/>
          <w:sz w:val="24"/>
          <w:szCs w:val="24"/>
        </w:rPr>
        <w:t>Discard blood components were strictly report in 2017</w:t>
      </w:r>
      <w:r w:rsidR="00CF0DB4">
        <w:rPr>
          <w:rFonts w:cs="Tahoma"/>
          <w:sz w:val="24"/>
          <w:szCs w:val="24"/>
        </w:rPr>
        <w:t xml:space="preserve"> and</w:t>
      </w:r>
      <w:r>
        <w:rPr>
          <w:rFonts w:cs="Tahoma"/>
          <w:sz w:val="24"/>
          <w:szCs w:val="24"/>
        </w:rPr>
        <w:t xml:space="preserve"> </w:t>
      </w:r>
      <w:r w:rsidR="00CF0DB4">
        <w:rPr>
          <w:rFonts w:cs="Tahoma"/>
          <w:sz w:val="24"/>
          <w:szCs w:val="24"/>
        </w:rPr>
        <w:t xml:space="preserve">the frequency was </w:t>
      </w:r>
      <w:r>
        <w:rPr>
          <w:rFonts w:cs="Tahoma"/>
          <w:sz w:val="24"/>
          <w:szCs w:val="24"/>
        </w:rPr>
        <w:t>analy</w:t>
      </w:r>
      <w:r w:rsidR="00CF0DB4">
        <w:rPr>
          <w:rFonts w:cs="Tahoma"/>
          <w:sz w:val="24"/>
          <w:szCs w:val="24"/>
        </w:rPr>
        <w:t>zed for in each cause</w:t>
      </w:r>
      <w:r>
        <w:rPr>
          <w:rFonts w:cs="Tahoma"/>
          <w:sz w:val="24"/>
          <w:szCs w:val="24"/>
        </w:rPr>
        <w:t>.</w:t>
      </w:r>
    </w:p>
    <w:p w:rsidR="0088320A" w:rsidRPr="0088320A" w:rsidRDefault="0088320A" w:rsidP="0088320A">
      <w:pPr>
        <w:spacing w:after="120" w:line="20" w:lineRule="atLeast"/>
        <w:jc w:val="thaiDistribute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 xml:space="preserve"> </w:t>
      </w:r>
    </w:p>
    <w:p w:rsidR="0088320A" w:rsidRDefault="00CF0DB4" w:rsidP="00CF0DB4">
      <w:pPr>
        <w:spacing w:after="120" w:line="20" w:lineRule="atLeast"/>
        <w:jc w:val="thaiDistribute"/>
        <w:rPr>
          <w:rFonts w:cs="Tahoma"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Result</w:t>
      </w:r>
      <w:r w:rsidR="0088320A">
        <w:rPr>
          <w:rFonts w:cs="Tahoma"/>
          <w:b/>
          <w:bCs/>
          <w:sz w:val="24"/>
          <w:szCs w:val="24"/>
        </w:rPr>
        <w:t xml:space="preserve">: </w:t>
      </w:r>
      <w:r w:rsidR="004665CC">
        <w:rPr>
          <w:rFonts w:cs="Tahoma"/>
          <w:sz w:val="24"/>
          <w:szCs w:val="24"/>
        </w:rPr>
        <w:t>Red cells</w:t>
      </w:r>
      <w:r>
        <w:rPr>
          <w:rFonts w:cs="Tahoma"/>
          <w:sz w:val="24"/>
          <w:szCs w:val="24"/>
        </w:rPr>
        <w:t xml:space="preserve"> concentrates</w:t>
      </w:r>
      <w:r w:rsidR="004665CC">
        <w:rPr>
          <w:rFonts w:cs="Tahoma"/>
          <w:sz w:val="24"/>
          <w:szCs w:val="24"/>
        </w:rPr>
        <w:t xml:space="preserve"> expired rate </w:t>
      </w:r>
      <w:r>
        <w:rPr>
          <w:rFonts w:cs="Tahoma"/>
          <w:sz w:val="24"/>
          <w:szCs w:val="24"/>
        </w:rPr>
        <w:t>between</w:t>
      </w:r>
      <w:r w:rsidR="004665CC">
        <w:rPr>
          <w:rFonts w:cs="Tahoma"/>
          <w:sz w:val="24"/>
          <w:szCs w:val="24"/>
        </w:rPr>
        <w:t xml:space="preserve"> 2015</w:t>
      </w:r>
      <w:r>
        <w:rPr>
          <w:rFonts w:cs="Tahoma"/>
          <w:sz w:val="24"/>
          <w:szCs w:val="24"/>
        </w:rPr>
        <w:t xml:space="preserve"> and </w:t>
      </w:r>
      <w:r w:rsidR="004665CC">
        <w:rPr>
          <w:rFonts w:cs="Tahoma"/>
          <w:sz w:val="24"/>
          <w:szCs w:val="24"/>
        </w:rPr>
        <w:t xml:space="preserve">2017 were 4.8%, 4.3% and 5.6%, respectively. </w:t>
      </w:r>
      <w:r w:rsidR="006D03F6">
        <w:rPr>
          <w:rFonts w:cs="Tahoma"/>
          <w:sz w:val="24"/>
          <w:szCs w:val="24"/>
        </w:rPr>
        <w:t>Total of whole blood (WB) collection in 2017 was 30,010 units</w:t>
      </w:r>
      <w:r>
        <w:rPr>
          <w:rFonts w:cs="Tahoma"/>
          <w:sz w:val="24"/>
          <w:szCs w:val="24"/>
        </w:rPr>
        <w:t xml:space="preserve"> while</w:t>
      </w:r>
      <w:r w:rsidR="006D03F6">
        <w:rPr>
          <w:rFonts w:cs="Tahoma"/>
          <w:sz w:val="24"/>
          <w:szCs w:val="24"/>
        </w:rPr>
        <w:t xml:space="preserve"> WB</w:t>
      </w:r>
      <w:r w:rsidR="004665CC">
        <w:rPr>
          <w:rFonts w:cs="Tahoma"/>
          <w:sz w:val="24"/>
          <w:szCs w:val="24"/>
        </w:rPr>
        <w:t xml:space="preserve"> collection out of standard volume </w:t>
      </w:r>
      <w:r>
        <w:rPr>
          <w:rFonts w:cs="Tahoma"/>
          <w:sz w:val="24"/>
          <w:szCs w:val="24"/>
        </w:rPr>
        <w:t>was</w:t>
      </w:r>
      <w:r w:rsidR="006D03F6">
        <w:rPr>
          <w:rFonts w:cs="Tahoma"/>
          <w:sz w:val="24"/>
          <w:szCs w:val="24"/>
        </w:rPr>
        <w:t xml:space="preserve"> 486</w:t>
      </w:r>
      <w:r w:rsidR="004665CC">
        <w:rPr>
          <w:rFonts w:cs="Tahoma"/>
          <w:sz w:val="24"/>
          <w:szCs w:val="24"/>
        </w:rPr>
        <w:t xml:space="preserve"> units (1.</w:t>
      </w:r>
      <w:r w:rsidR="006D03F6">
        <w:rPr>
          <w:rFonts w:cs="Tahoma"/>
          <w:sz w:val="24"/>
          <w:szCs w:val="24"/>
        </w:rPr>
        <w:t>6</w:t>
      </w:r>
      <w:r w:rsidR="004665CC">
        <w:rPr>
          <w:rFonts w:cs="Tahoma"/>
          <w:sz w:val="24"/>
          <w:szCs w:val="24"/>
        </w:rPr>
        <w:t xml:space="preserve">%), </w:t>
      </w:r>
      <w:r>
        <w:rPr>
          <w:rFonts w:cs="Tahoma"/>
          <w:sz w:val="24"/>
          <w:szCs w:val="24"/>
        </w:rPr>
        <w:t xml:space="preserve">the </w:t>
      </w:r>
      <w:r w:rsidR="004665CC">
        <w:rPr>
          <w:rFonts w:cs="Tahoma"/>
          <w:sz w:val="24"/>
          <w:szCs w:val="24"/>
        </w:rPr>
        <w:t xml:space="preserve">breakage blood bag between blood components preparation </w:t>
      </w:r>
      <w:r>
        <w:rPr>
          <w:rFonts w:cs="Tahoma"/>
          <w:sz w:val="24"/>
          <w:szCs w:val="24"/>
        </w:rPr>
        <w:t xml:space="preserve">was </w:t>
      </w:r>
      <w:r w:rsidR="004665CC">
        <w:rPr>
          <w:rFonts w:cs="Tahoma"/>
          <w:sz w:val="24"/>
          <w:szCs w:val="24"/>
        </w:rPr>
        <w:t>169 units (</w:t>
      </w:r>
      <w:r w:rsidR="006D03F6">
        <w:rPr>
          <w:rFonts w:cs="Tahoma"/>
          <w:sz w:val="24"/>
          <w:szCs w:val="24"/>
        </w:rPr>
        <w:t>0.6%)</w:t>
      </w:r>
      <w:r>
        <w:rPr>
          <w:rFonts w:cs="Tahoma"/>
          <w:sz w:val="24"/>
          <w:szCs w:val="24"/>
        </w:rPr>
        <w:t xml:space="preserve"> and</w:t>
      </w:r>
      <w:r w:rsidR="006D03F6">
        <w:rPr>
          <w:rFonts w:cs="Tahoma"/>
          <w:sz w:val="24"/>
          <w:szCs w:val="24"/>
        </w:rPr>
        <w:t xml:space="preserve"> buffy coat discard from platelet preparation</w:t>
      </w:r>
      <w:r>
        <w:rPr>
          <w:rFonts w:cs="Tahoma"/>
          <w:sz w:val="24"/>
          <w:szCs w:val="24"/>
        </w:rPr>
        <w:t xml:space="preserve"> recorded as</w:t>
      </w:r>
      <w:r w:rsidR="006D03F6">
        <w:rPr>
          <w:rFonts w:cs="Tahoma"/>
          <w:sz w:val="24"/>
          <w:szCs w:val="24"/>
        </w:rPr>
        <w:t xml:space="preserve"> 1,133 units (3.8%). </w:t>
      </w:r>
    </w:p>
    <w:p w:rsidR="006D03F6" w:rsidRDefault="006D03F6" w:rsidP="0088320A">
      <w:pPr>
        <w:spacing w:after="120" w:line="20" w:lineRule="atLeast"/>
        <w:jc w:val="thaiDistribute"/>
        <w:rPr>
          <w:rFonts w:cs="Tahoma"/>
          <w:sz w:val="24"/>
          <w:szCs w:val="24"/>
        </w:rPr>
      </w:pPr>
    </w:p>
    <w:p w:rsidR="006D03F6" w:rsidRPr="006D03F6" w:rsidRDefault="006D03F6" w:rsidP="00DF354D">
      <w:pPr>
        <w:spacing w:after="120" w:line="20" w:lineRule="atLeast"/>
        <w:jc w:val="thaiDistribute"/>
        <w:rPr>
          <w:rFonts w:cs="Tahoma"/>
          <w:sz w:val="24"/>
          <w:szCs w:val="24"/>
        </w:rPr>
      </w:pPr>
      <w:r w:rsidRPr="006D03F6">
        <w:rPr>
          <w:rFonts w:cs="Tahoma"/>
          <w:b/>
          <w:bCs/>
          <w:sz w:val="24"/>
          <w:szCs w:val="24"/>
        </w:rPr>
        <w:t>Conclusi</w:t>
      </w:r>
      <w:bookmarkStart w:id="0" w:name="_GoBack"/>
      <w:bookmarkEnd w:id="0"/>
      <w:r w:rsidRPr="006D03F6">
        <w:rPr>
          <w:rFonts w:cs="Tahoma"/>
          <w:b/>
          <w:bCs/>
          <w:sz w:val="24"/>
          <w:szCs w:val="24"/>
        </w:rPr>
        <w:t>on</w:t>
      </w:r>
      <w:r>
        <w:rPr>
          <w:rFonts w:cs="Tahoma"/>
          <w:sz w:val="24"/>
          <w:szCs w:val="24"/>
        </w:rPr>
        <w:t xml:space="preserve"> : Red </w:t>
      </w:r>
      <w:r w:rsidRPr="006D03F6">
        <w:rPr>
          <w:rFonts w:cs="Tahoma"/>
          <w:sz w:val="24"/>
          <w:szCs w:val="24"/>
        </w:rPr>
        <w:t xml:space="preserve">cells concentrate expired rate close to </w:t>
      </w:r>
      <w:r w:rsidR="00CF0DB4">
        <w:rPr>
          <w:rFonts w:cs="Tahoma"/>
          <w:sz w:val="24"/>
          <w:szCs w:val="24"/>
        </w:rPr>
        <w:t>maximum</w:t>
      </w:r>
      <w:r w:rsidRPr="006D03F6">
        <w:rPr>
          <w:rFonts w:cs="Tahoma"/>
          <w:sz w:val="24"/>
          <w:szCs w:val="24"/>
        </w:rPr>
        <w:t xml:space="preserve"> limit </w:t>
      </w:r>
      <w:r>
        <w:rPr>
          <w:rFonts w:cs="Tahoma"/>
          <w:sz w:val="24"/>
          <w:szCs w:val="24"/>
        </w:rPr>
        <w:t xml:space="preserve">(5.0%), </w:t>
      </w:r>
      <w:r w:rsidR="00DF354D">
        <w:rPr>
          <w:rFonts w:cs="Tahoma"/>
          <w:sz w:val="24"/>
          <w:szCs w:val="24"/>
        </w:rPr>
        <w:t>normally</w:t>
      </w:r>
      <w:r>
        <w:rPr>
          <w:rFonts w:cs="Tahoma"/>
          <w:sz w:val="24"/>
          <w:szCs w:val="24"/>
        </w:rPr>
        <w:t xml:space="preserve"> blood components discard WB collection to standard volume, the procedure in blood components breakage have to re-consider</w:t>
      </w:r>
      <w:r w:rsidR="00DF354D">
        <w:rPr>
          <w:rFonts w:cs="Tahoma"/>
          <w:sz w:val="24"/>
          <w:szCs w:val="24"/>
        </w:rPr>
        <w:t xml:space="preserve"> b</w:t>
      </w:r>
      <w:r>
        <w:rPr>
          <w:rFonts w:cs="Tahoma"/>
          <w:sz w:val="24"/>
          <w:szCs w:val="24"/>
        </w:rPr>
        <w:t>ecause all discards leading to cost effective.</w:t>
      </w:r>
    </w:p>
    <w:sectPr w:rsidR="006D03F6" w:rsidRPr="006D03F6" w:rsidSect="00EA62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DF62D3"/>
    <w:rsid w:val="001E54E8"/>
    <w:rsid w:val="004665CC"/>
    <w:rsid w:val="004D6DFA"/>
    <w:rsid w:val="006D03F6"/>
    <w:rsid w:val="0088320A"/>
    <w:rsid w:val="00A32158"/>
    <w:rsid w:val="00CF0DB4"/>
    <w:rsid w:val="00DF354D"/>
    <w:rsid w:val="00DF62D3"/>
    <w:rsid w:val="00EA62D6"/>
    <w:rsid w:val="00EE0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KhonKaen University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Khon Kaen University</dc:creator>
  <cp:lastModifiedBy>Khon Kaen University</cp:lastModifiedBy>
  <cp:revision>2</cp:revision>
  <dcterms:created xsi:type="dcterms:W3CDTF">2018-05-25T02:19:00Z</dcterms:created>
  <dcterms:modified xsi:type="dcterms:W3CDTF">2018-05-25T02:19:00Z</dcterms:modified>
</cp:coreProperties>
</file>