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en-US"/>
        </w:rPr>
        <w:t>Nanoceria increases superoxide dismutase expression and vasodilation response to sodium nitroprusside in human saphenous vein.</w:t>
      </w:r>
    </w:p>
    <w:p>
      <w:pPr>
        <w:pStyle w:val="Cuerpo"/>
        <w:jc w:val="both"/>
        <w:rPr>
          <w:rFonts w:ascii="Calibri" w:cs="Calibri" w:hAnsi="Calibri" w:eastAsia="Calibri"/>
          <w:b w:val="1"/>
          <w:bCs w:val="1"/>
          <w:lang w:val="en-US"/>
        </w:rPr>
      </w:pPr>
    </w:p>
    <w:p>
      <w:pPr>
        <w:pStyle w:val="HTML Preformatted"/>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rPr>
          <w:rStyle w:val="Ninguno"/>
          <w:rFonts w:ascii="Calibri" w:cs="Calibri" w:hAnsi="Calibri" w:eastAsia="Calibri"/>
          <w:b w:val="1"/>
          <w:bCs w:val="1"/>
          <w:sz w:val="24"/>
          <w:szCs w:val="24"/>
        </w:rPr>
      </w:pPr>
      <w:r>
        <w:rPr>
          <w:rStyle w:val="Ninguno"/>
          <w:rFonts w:ascii="Calibri" w:cs="Calibri" w:hAnsi="Calibri" w:eastAsia="Calibri"/>
          <w:b w:val="1"/>
          <w:bCs w:val="1"/>
          <w:sz w:val="24"/>
          <w:szCs w:val="24"/>
          <w:rtl w:val="0"/>
          <w:lang w:val="es-ES_tradnl"/>
        </w:rPr>
        <w:t>Cristina Rueda</w:t>
      </w:r>
      <w:r>
        <w:rPr>
          <w:rStyle w:val="Ninguno"/>
          <w:rFonts w:ascii="Calibri" w:cs="Calibri" w:hAnsi="Calibri" w:eastAsia="Calibri"/>
          <w:b w:val="1"/>
          <w:bCs w:val="1"/>
          <w:sz w:val="24"/>
          <w:szCs w:val="24"/>
          <w:vertAlign w:val="superscript"/>
          <w:rtl w:val="0"/>
          <w:lang w:val="es-ES_tradnl"/>
        </w:rPr>
        <w:t>1</w:t>
      </w:r>
      <w:r>
        <w:rPr>
          <w:rStyle w:val="Ninguno"/>
          <w:rFonts w:ascii="Calibri" w:cs="Calibri" w:hAnsi="Calibri" w:eastAsia="Calibri"/>
          <w:b w:val="1"/>
          <w:bCs w:val="1"/>
          <w:sz w:val="24"/>
          <w:szCs w:val="24"/>
          <w:rtl w:val="0"/>
          <w:lang w:val="es-ES_tradnl"/>
        </w:rPr>
        <w:t>; Solanye Guerra-Ojeda</w:t>
      </w:r>
      <w:r>
        <w:rPr>
          <w:rStyle w:val="Ninguno"/>
          <w:rFonts w:ascii="Calibri" w:cs="Calibri" w:hAnsi="Calibri" w:eastAsia="Calibri"/>
          <w:b w:val="1"/>
          <w:bCs w:val="1"/>
          <w:sz w:val="24"/>
          <w:szCs w:val="24"/>
          <w:vertAlign w:val="superscript"/>
          <w:rtl w:val="0"/>
          <w:lang w:val="es-ES_tradnl"/>
        </w:rPr>
        <w:t>2</w:t>
      </w:r>
      <w:r>
        <w:rPr>
          <w:rStyle w:val="Ninguno"/>
          <w:rFonts w:ascii="Calibri" w:cs="Calibri" w:hAnsi="Calibri" w:eastAsia="Calibri"/>
          <w:b w:val="1"/>
          <w:bCs w:val="1"/>
          <w:sz w:val="24"/>
          <w:szCs w:val="24"/>
          <w:rtl w:val="0"/>
          <w:lang w:val="es-ES_tradnl"/>
        </w:rPr>
        <w:t>; Marina Juez</w:t>
      </w:r>
      <w:r>
        <w:rPr>
          <w:rStyle w:val="Ninguno"/>
          <w:rFonts w:ascii="Calibri" w:cs="Calibri" w:hAnsi="Calibri" w:eastAsia="Calibri"/>
          <w:b w:val="1"/>
          <w:bCs w:val="1"/>
          <w:sz w:val="24"/>
          <w:szCs w:val="24"/>
          <w:vertAlign w:val="superscript"/>
          <w:rtl w:val="0"/>
          <w:lang w:val="es-ES_tradnl"/>
        </w:rPr>
        <w:t>1</w:t>
      </w:r>
      <w:r>
        <w:rPr>
          <w:rStyle w:val="Ninguno"/>
          <w:rFonts w:ascii="Calibri" w:cs="Calibri" w:hAnsi="Calibri" w:eastAsia="Calibri"/>
          <w:b w:val="1"/>
          <w:bCs w:val="1"/>
          <w:sz w:val="24"/>
          <w:szCs w:val="24"/>
          <w:rtl w:val="0"/>
          <w:lang w:val="es-ES_tradnl"/>
        </w:rPr>
        <w:t>; Andrea Su</w:t>
      </w:r>
      <w:r>
        <w:rPr>
          <w:rStyle w:val="Ninguno"/>
          <w:rFonts w:ascii="Calibri" w:cs="Calibri" w:hAnsi="Calibri" w:eastAsia="Calibri"/>
          <w:b w:val="1"/>
          <w:bCs w:val="1"/>
          <w:sz w:val="24"/>
          <w:szCs w:val="24"/>
          <w:rtl w:val="0"/>
          <w:lang w:val="es-ES_tradnl"/>
        </w:rPr>
        <w:t>á</w:t>
      </w:r>
      <w:r>
        <w:rPr>
          <w:rStyle w:val="Ninguno"/>
          <w:rFonts w:ascii="Calibri" w:cs="Calibri" w:hAnsi="Calibri" w:eastAsia="Calibri"/>
          <w:b w:val="1"/>
          <w:bCs w:val="1"/>
          <w:sz w:val="24"/>
          <w:szCs w:val="24"/>
          <w:rtl w:val="0"/>
          <w:lang w:val="es-ES_tradnl"/>
        </w:rPr>
        <w:t>rez</w:t>
      </w:r>
      <w:r>
        <w:rPr>
          <w:rStyle w:val="Ninguno"/>
          <w:rFonts w:ascii="Calibri" w:cs="Calibri" w:hAnsi="Calibri" w:eastAsia="Calibri"/>
          <w:b w:val="1"/>
          <w:bCs w:val="1"/>
          <w:sz w:val="24"/>
          <w:szCs w:val="24"/>
          <w:vertAlign w:val="superscript"/>
          <w:rtl w:val="0"/>
          <w:lang w:val="es-ES_tradnl"/>
        </w:rPr>
        <w:t>2</w:t>
      </w:r>
      <w:r>
        <w:rPr>
          <w:rStyle w:val="Ninguno"/>
          <w:rFonts w:ascii="Calibri" w:cs="Calibri" w:hAnsi="Calibri" w:eastAsia="Calibri"/>
          <w:b w:val="1"/>
          <w:bCs w:val="1"/>
          <w:sz w:val="24"/>
          <w:szCs w:val="24"/>
          <w:rtl w:val="0"/>
          <w:lang w:val="es-ES_tradnl"/>
        </w:rPr>
        <w:t>; Bego</w:t>
      </w:r>
      <w:r>
        <w:rPr>
          <w:rStyle w:val="Ninguno"/>
          <w:rFonts w:ascii="Calibri" w:cs="Calibri" w:hAnsi="Calibri" w:eastAsia="Calibri"/>
          <w:b w:val="1"/>
          <w:bCs w:val="1"/>
          <w:sz w:val="24"/>
          <w:szCs w:val="24"/>
          <w:rtl w:val="0"/>
          <w:lang w:val="es-ES_tradnl"/>
        </w:rPr>
        <w:t>ñ</w:t>
      </w:r>
      <w:r>
        <w:rPr>
          <w:rStyle w:val="Ninguno"/>
          <w:rFonts w:ascii="Calibri" w:cs="Calibri" w:hAnsi="Calibri" w:eastAsia="Calibri"/>
          <w:b w:val="1"/>
          <w:bCs w:val="1"/>
          <w:sz w:val="24"/>
          <w:szCs w:val="24"/>
          <w:rtl w:val="0"/>
          <w:lang w:val="es-ES_tradnl"/>
        </w:rPr>
        <w:t>a Belmonte</w:t>
      </w:r>
      <w:r>
        <w:rPr>
          <w:rStyle w:val="Ninguno"/>
          <w:rFonts w:ascii="Calibri" w:cs="Calibri" w:hAnsi="Calibri" w:eastAsia="Calibri"/>
          <w:b w:val="1"/>
          <w:bCs w:val="1"/>
          <w:sz w:val="24"/>
          <w:szCs w:val="24"/>
          <w:vertAlign w:val="superscript"/>
          <w:rtl w:val="0"/>
          <w:lang w:val="es-ES_tradnl"/>
        </w:rPr>
        <w:t>2</w:t>
      </w:r>
      <w:r>
        <w:rPr>
          <w:rStyle w:val="Ninguno"/>
          <w:rFonts w:ascii="Calibri" w:cs="Calibri" w:hAnsi="Calibri" w:eastAsia="Calibri"/>
          <w:rtl w:val="0"/>
          <w:lang w:val="es-ES_tradnl"/>
        </w:rPr>
        <w:t xml:space="preserve">; </w:t>
      </w:r>
      <w:r>
        <w:rPr>
          <w:rStyle w:val="Ninguno"/>
          <w:rFonts w:ascii="Calibri" w:cs="Calibri" w:hAnsi="Calibri" w:eastAsia="Calibri"/>
          <w:b w:val="1"/>
          <w:bCs w:val="1"/>
          <w:sz w:val="24"/>
          <w:szCs w:val="24"/>
          <w:rtl w:val="0"/>
          <w:lang w:val="es-ES_tradnl"/>
        </w:rPr>
        <w:t>Paulina Briz</w:t>
      </w:r>
      <w:r>
        <w:rPr>
          <w:rStyle w:val="Ninguno"/>
          <w:rFonts w:ascii="Calibri" w:cs="Calibri" w:hAnsi="Calibri" w:eastAsia="Calibri"/>
          <w:b w:val="1"/>
          <w:bCs w:val="1"/>
          <w:sz w:val="24"/>
          <w:szCs w:val="24"/>
          <w:vertAlign w:val="superscript"/>
          <w:rtl w:val="0"/>
          <w:lang w:val="es-ES_tradnl"/>
        </w:rPr>
        <w:t>3</w:t>
      </w:r>
      <w:r>
        <w:rPr>
          <w:rStyle w:val="Ninguno"/>
          <w:rFonts w:ascii="Calibri" w:cs="Calibri" w:hAnsi="Calibri" w:eastAsia="Calibri"/>
          <w:b w:val="1"/>
          <w:bCs w:val="1"/>
          <w:sz w:val="24"/>
          <w:szCs w:val="24"/>
          <w:rtl w:val="0"/>
          <w:lang w:val="es-ES_tradnl"/>
        </w:rPr>
        <w:t>; Alejandro Rinc</w:t>
      </w:r>
      <w:r>
        <w:rPr>
          <w:rStyle w:val="Ninguno"/>
          <w:rFonts w:ascii="Calibri" w:cs="Calibri" w:hAnsi="Calibri" w:eastAsia="Calibri"/>
          <w:b w:val="1"/>
          <w:bCs w:val="1"/>
          <w:sz w:val="24"/>
          <w:szCs w:val="24"/>
          <w:rtl w:val="0"/>
          <w:lang w:val="es-ES_tradnl"/>
        </w:rPr>
        <w:t>ó</w:t>
      </w:r>
      <w:r>
        <w:rPr>
          <w:rStyle w:val="Ninguno"/>
          <w:rFonts w:ascii="Calibri" w:cs="Calibri" w:hAnsi="Calibri" w:eastAsia="Calibri"/>
          <w:b w:val="1"/>
          <w:bCs w:val="1"/>
          <w:sz w:val="24"/>
          <w:szCs w:val="24"/>
          <w:rtl w:val="0"/>
          <w:lang w:val="es-ES_tradnl"/>
        </w:rPr>
        <w:t>n-Almanza</w:t>
      </w:r>
      <w:r>
        <w:rPr>
          <w:rStyle w:val="Ninguno"/>
          <w:rFonts w:ascii="Calibri" w:cs="Calibri" w:hAnsi="Calibri" w:eastAsia="Calibri"/>
          <w:b w:val="1"/>
          <w:bCs w:val="1"/>
          <w:sz w:val="24"/>
          <w:szCs w:val="24"/>
          <w:vertAlign w:val="superscript"/>
          <w:rtl w:val="0"/>
          <w:lang w:val="es-ES_tradnl"/>
        </w:rPr>
        <w:t xml:space="preserve">3 </w:t>
      </w:r>
      <w:r>
        <w:rPr>
          <w:rStyle w:val="Ninguno"/>
          <w:rFonts w:ascii="Calibri" w:cs="Calibri" w:hAnsi="Calibri" w:eastAsia="Calibri"/>
          <w:b w:val="1"/>
          <w:bCs w:val="1"/>
          <w:sz w:val="24"/>
          <w:szCs w:val="24"/>
          <w:rtl w:val="0"/>
          <w:lang w:val="es-ES_tradnl"/>
        </w:rPr>
        <w:t>and Mar</w:t>
      </w:r>
      <w:r>
        <w:rPr>
          <w:rStyle w:val="Ninguno"/>
          <w:rFonts w:ascii="Calibri" w:cs="Calibri" w:hAnsi="Calibri" w:eastAsia="Calibri"/>
          <w:b w:val="1"/>
          <w:bCs w:val="1"/>
          <w:sz w:val="24"/>
          <w:szCs w:val="24"/>
          <w:rtl w:val="0"/>
          <w:lang w:val="es-ES_tradnl"/>
        </w:rPr>
        <w:t>í</w:t>
      </w:r>
      <w:r>
        <w:rPr>
          <w:rStyle w:val="Ninguno"/>
          <w:rFonts w:ascii="Calibri" w:cs="Calibri" w:hAnsi="Calibri" w:eastAsia="Calibri"/>
          <w:b w:val="1"/>
          <w:bCs w:val="1"/>
          <w:sz w:val="24"/>
          <w:szCs w:val="24"/>
          <w:rtl w:val="0"/>
          <w:lang w:val="es-ES_tradnl"/>
        </w:rPr>
        <w:t>a D. Mauricio</w:t>
      </w:r>
      <w:r>
        <w:rPr>
          <w:rStyle w:val="Ninguno"/>
          <w:rFonts w:ascii="Calibri" w:cs="Calibri" w:hAnsi="Calibri" w:eastAsia="Calibri"/>
          <w:b w:val="1"/>
          <w:bCs w:val="1"/>
          <w:sz w:val="24"/>
          <w:szCs w:val="24"/>
          <w:vertAlign w:val="superscript"/>
          <w:rtl w:val="0"/>
          <w:lang w:val="es-ES_tradnl"/>
        </w:rPr>
        <w:t>2</w:t>
      </w:r>
    </w:p>
    <w:p>
      <w:pPr>
        <w:pStyle w:val="HTML Preformatted"/>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rPr>
          <w:rFonts w:ascii="Calibri" w:cs="Calibri" w:hAnsi="Calibri" w:eastAsia="Calibri"/>
          <w:b w:val="1"/>
          <w:bCs w:val="1"/>
          <w:sz w:val="24"/>
          <w:szCs w:val="24"/>
        </w:rPr>
      </w:pPr>
    </w:p>
    <w:p>
      <w:pPr>
        <w:pStyle w:val="HTML Preformatted"/>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rPr>
          <w:rStyle w:val="Ninguno"/>
          <w:rFonts w:ascii="Calibri" w:cs="Calibri" w:hAnsi="Calibri" w:eastAsia="Calibri"/>
          <w:sz w:val="24"/>
          <w:szCs w:val="24"/>
        </w:rPr>
      </w:pPr>
      <w:r>
        <w:rPr>
          <w:rStyle w:val="Ninguno"/>
          <w:rFonts w:ascii="Calibri" w:cs="Calibri" w:hAnsi="Calibri" w:eastAsia="Calibri"/>
          <w:b w:val="1"/>
          <w:bCs w:val="1"/>
          <w:sz w:val="24"/>
          <w:szCs w:val="24"/>
          <w:vertAlign w:val="superscript"/>
          <w:rtl w:val="0"/>
          <w:lang w:val="es-ES_tradnl"/>
        </w:rPr>
        <w:t>1</w:t>
      </w:r>
      <w:r>
        <w:rPr>
          <w:rStyle w:val="Ninguno"/>
          <w:rFonts w:ascii="Calibri" w:cs="Calibri" w:hAnsi="Calibri" w:eastAsia="Calibri"/>
          <w:rtl w:val="0"/>
          <w:lang w:val="es-ES_tradnl"/>
        </w:rPr>
        <w:t xml:space="preserve"> </w:t>
      </w:r>
      <w:r>
        <w:rPr>
          <w:rStyle w:val="Ninguno"/>
          <w:rFonts w:ascii="Calibri" w:cs="Calibri" w:hAnsi="Calibri" w:eastAsia="Calibri"/>
          <w:sz w:val="24"/>
          <w:szCs w:val="24"/>
          <w:rtl w:val="0"/>
          <w:lang w:val="es-ES_tradnl"/>
        </w:rPr>
        <w:t>Servicio de Cirug</w:t>
      </w:r>
      <w:r>
        <w:rPr>
          <w:rStyle w:val="Ninguno"/>
          <w:rFonts w:ascii="Calibri" w:cs="Calibri" w:hAnsi="Calibri" w:eastAsia="Calibri"/>
          <w:sz w:val="24"/>
          <w:szCs w:val="24"/>
          <w:rtl w:val="0"/>
          <w:lang w:val="es-ES_tradnl"/>
        </w:rPr>
        <w:t>í</w:t>
      </w:r>
      <w:r>
        <w:rPr>
          <w:rStyle w:val="Ninguno"/>
          <w:rFonts w:ascii="Calibri" w:cs="Calibri" w:hAnsi="Calibri" w:eastAsia="Calibri"/>
          <w:sz w:val="24"/>
          <w:szCs w:val="24"/>
          <w:rtl w:val="0"/>
          <w:lang w:val="es-ES_tradnl"/>
        </w:rPr>
        <w:t>a Cardiovascular. Hospital General Universitari de Valencia. Spain</w:t>
      </w:r>
    </w:p>
    <w:p>
      <w:pPr>
        <w:pStyle w:val="Por omisión A"/>
        <w:tabs>
          <w:tab w:val="left" w:pos="916"/>
          <w:tab w:val="left" w:pos="1832"/>
          <w:tab w:val="left" w:pos="2748"/>
          <w:tab w:val="left" w:pos="3664"/>
          <w:tab w:val="left" w:pos="4580"/>
          <w:tab w:val="left" w:pos="5496"/>
          <w:tab w:val="left" w:pos="6412"/>
          <w:tab w:val="left" w:pos="7328"/>
          <w:tab w:val="left" w:pos="7998"/>
          <w:tab w:val="left" w:pos="7998"/>
          <w:tab w:val="left" w:pos="7998"/>
        </w:tabs>
        <w:spacing w:before="0" w:line="240" w:lineRule="auto"/>
        <w:rPr>
          <w:rStyle w:val="Ninguno"/>
          <w:rFonts w:ascii="Calibri" w:cs="Calibri" w:hAnsi="Calibri" w:eastAsia="Calibri"/>
          <w:color w:val="000000"/>
          <w:u w:color="000000"/>
        </w:rPr>
      </w:pPr>
      <w:r>
        <w:rPr>
          <w:rStyle w:val="Ninguno"/>
          <w:rFonts w:ascii="Calibri" w:cs="Calibri" w:hAnsi="Calibri" w:eastAsia="Calibri"/>
          <w:color w:val="000000"/>
          <w:u w:color="000000"/>
          <w:vertAlign w:val="superscript"/>
          <w:rtl w:val="0"/>
          <w:lang w:val="es-ES_tradnl"/>
        </w:rPr>
        <w:t xml:space="preserve">2 </w:t>
      </w:r>
      <w:r>
        <w:rPr>
          <w:rStyle w:val="Ninguno"/>
          <w:rFonts w:ascii="Calibri" w:cs="Calibri" w:hAnsi="Calibri" w:eastAsia="Calibri"/>
          <w:color w:val="000000"/>
          <w:u w:color="000000"/>
          <w:rtl w:val="0"/>
          <w:lang w:val="es-ES_tradnl"/>
        </w:rPr>
        <w:t>Departamento de Fisiolog</w:t>
      </w:r>
      <w:r>
        <w:rPr>
          <w:rStyle w:val="Ninguno"/>
          <w:rFonts w:ascii="Calibri" w:cs="Calibri" w:hAnsi="Calibri" w:eastAsia="Calibri"/>
          <w:color w:val="000000"/>
          <w:u w:color="000000"/>
          <w:rtl w:val="0"/>
          <w:lang w:val="es-ES_tradnl"/>
        </w:rPr>
        <w:t>í</w:t>
      </w:r>
      <w:r>
        <w:rPr>
          <w:rStyle w:val="Ninguno"/>
          <w:rFonts w:ascii="Calibri" w:cs="Calibri" w:hAnsi="Calibri" w:eastAsia="Calibri"/>
          <w:color w:val="000000"/>
          <w:u w:color="000000"/>
          <w:rtl w:val="0"/>
          <w:lang w:val="es-ES_tradnl"/>
        </w:rPr>
        <w:t>a. Universitat de Valencia. Spain</w:t>
      </w:r>
    </w:p>
    <w:p>
      <w:pPr>
        <w:pStyle w:val="Por omisión A"/>
        <w:tabs>
          <w:tab w:val="left" w:pos="916"/>
          <w:tab w:val="left" w:pos="1832"/>
          <w:tab w:val="left" w:pos="2748"/>
          <w:tab w:val="left" w:pos="3664"/>
          <w:tab w:val="left" w:pos="4580"/>
          <w:tab w:val="left" w:pos="5496"/>
          <w:tab w:val="left" w:pos="6412"/>
          <w:tab w:val="left" w:pos="7328"/>
          <w:tab w:val="left" w:pos="7998"/>
          <w:tab w:val="left" w:pos="7998"/>
          <w:tab w:val="left" w:pos="7998"/>
        </w:tabs>
        <w:spacing w:before="0" w:line="240" w:lineRule="auto"/>
        <w:rPr>
          <w:rStyle w:val="Ninguno"/>
          <w:rFonts w:ascii="Calibri" w:cs="Calibri" w:hAnsi="Calibri" w:eastAsia="Calibri"/>
          <w:color w:val="000000"/>
          <w:u w:color="000000"/>
        </w:rPr>
      </w:pPr>
      <w:r>
        <w:rPr>
          <w:rStyle w:val="Ninguno"/>
          <w:rFonts w:ascii="Calibri" w:cs="Calibri" w:hAnsi="Calibri" w:eastAsia="Calibri"/>
          <w:color w:val="000000"/>
          <w:u w:color="000000"/>
          <w:vertAlign w:val="superscript"/>
          <w:rtl w:val="0"/>
          <w:lang w:val="es-ES_tradnl"/>
        </w:rPr>
        <w:t>3</w:t>
      </w:r>
      <w:r>
        <w:rPr>
          <w:rStyle w:val="Ninguno"/>
          <w:rFonts w:ascii="Calibri" w:cs="Calibri" w:hAnsi="Calibri" w:eastAsia="Calibri"/>
          <w:color w:val="000000"/>
          <w:u w:color="000000"/>
          <w:rtl w:val="0"/>
          <w:lang w:val="es-ES_tradnl"/>
        </w:rPr>
        <w:t xml:space="preserve"> Servicio de Cirug</w:t>
      </w:r>
      <w:r>
        <w:rPr>
          <w:rStyle w:val="Ninguno"/>
          <w:rFonts w:ascii="Calibri" w:cs="Calibri" w:hAnsi="Calibri" w:eastAsia="Calibri"/>
          <w:color w:val="000000"/>
          <w:u w:color="000000"/>
          <w:rtl w:val="0"/>
          <w:lang w:val="es-ES_tradnl"/>
        </w:rPr>
        <w:t>í</w:t>
      </w:r>
      <w:r>
        <w:rPr>
          <w:rStyle w:val="Ninguno"/>
          <w:rFonts w:ascii="Calibri" w:cs="Calibri" w:hAnsi="Calibri" w:eastAsia="Calibri"/>
          <w:color w:val="000000"/>
          <w:u w:color="000000"/>
          <w:rtl w:val="0"/>
          <w:lang w:val="es-ES_tradnl"/>
        </w:rPr>
        <w:t>a Cardiovascular. Hospital Universitari i Polit</w:t>
      </w:r>
      <w:r>
        <w:rPr>
          <w:rStyle w:val="Ninguno"/>
          <w:rFonts w:ascii="Calibri" w:cs="Calibri" w:hAnsi="Calibri" w:eastAsia="Calibri"/>
          <w:color w:val="000000"/>
          <w:u w:color="000000"/>
          <w:rtl w:val="0"/>
          <w:lang w:val="es-ES_tradnl"/>
        </w:rPr>
        <w:t>è</w:t>
      </w:r>
      <w:r>
        <w:rPr>
          <w:rStyle w:val="Ninguno"/>
          <w:rFonts w:ascii="Calibri" w:cs="Calibri" w:hAnsi="Calibri" w:eastAsia="Calibri"/>
          <w:color w:val="000000"/>
          <w:u w:color="000000"/>
          <w:rtl w:val="0"/>
          <w:lang w:val="es-ES_tradnl"/>
        </w:rPr>
        <w:t>cnic La Fe. Valencia. Spain</w:t>
      </w:r>
    </w:p>
    <w:p>
      <w:pPr>
        <w:pStyle w:val="Por omisión A"/>
        <w:tabs>
          <w:tab w:val="left" w:pos="916"/>
          <w:tab w:val="left" w:pos="1832"/>
          <w:tab w:val="left" w:pos="2748"/>
          <w:tab w:val="left" w:pos="3664"/>
          <w:tab w:val="left" w:pos="4580"/>
          <w:tab w:val="left" w:pos="5496"/>
          <w:tab w:val="left" w:pos="6412"/>
          <w:tab w:val="left" w:pos="7328"/>
          <w:tab w:val="left" w:pos="7998"/>
          <w:tab w:val="left" w:pos="7998"/>
          <w:tab w:val="left" w:pos="7998"/>
        </w:tabs>
        <w:spacing w:before="0" w:line="240" w:lineRule="auto"/>
        <w:rPr>
          <w:rStyle w:val="Ninguno"/>
          <w:rFonts w:ascii="Calibri" w:cs="Calibri" w:hAnsi="Calibri" w:eastAsia="Calibri"/>
          <w:b w:val="1"/>
          <w:bCs w:val="1"/>
          <w:color w:val="76923c"/>
          <w:u w:color="000000"/>
        </w:rPr>
      </w:pPr>
    </w:p>
    <w:p>
      <w:pPr>
        <w:pStyle w:val="HTML Preformatted"/>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rPr>
          <w:rFonts w:ascii="Calibri" w:cs="Calibri" w:hAnsi="Calibri" w:eastAsia="Calibri"/>
          <w:b w:val="1"/>
          <w:bCs w:val="1"/>
          <w:sz w:val="24"/>
          <w:szCs w:val="24"/>
        </w:rPr>
      </w:pP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fr-FR"/>
        </w:rPr>
        <w:t>Introduction</w:t>
      </w:r>
    </w:p>
    <w:p>
      <w:pPr>
        <w:pStyle w:val="Cuerpo"/>
        <w:jc w:val="both"/>
        <w:rPr>
          <w:rStyle w:val="Ninguno"/>
          <w:rFonts w:ascii="Calibri" w:cs="Calibri" w:hAnsi="Calibri" w:eastAsia="Calibri"/>
        </w:rPr>
      </w:pPr>
      <w:r>
        <w:rPr>
          <w:rStyle w:val="Ninguno"/>
          <w:rFonts w:ascii="Calibri" w:cs="Calibri" w:hAnsi="Calibri" w:eastAsia="Calibri"/>
          <w:rtl w:val="0"/>
          <w:lang w:val="en-US"/>
        </w:rPr>
        <w:t xml:space="preserve">Cerium oxide nanoparticles (nanoceria) </w:t>
      </w:r>
      <w:r>
        <w:rPr>
          <w:rStyle w:val="Ninguno"/>
          <w:rFonts w:ascii="Calibri" w:cs="Calibri" w:hAnsi="Calibri" w:eastAsia="Calibri"/>
          <w:color w:val="231f20"/>
          <w:u w:color="231f20"/>
          <w:rtl w:val="0"/>
          <w:lang w:val="en-US"/>
        </w:rPr>
        <w:t xml:space="preserve">represents an important nanomaterial for medical use due to its </w:t>
      </w:r>
      <w:r>
        <w:rPr>
          <w:rStyle w:val="Ninguno"/>
          <w:rFonts w:ascii="Calibri" w:cs="Calibri" w:hAnsi="Calibri" w:eastAsia="Calibri"/>
          <w:rtl w:val="0"/>
          <w:lang w:val="en-US"/>
        </w:rPr>
        <w:t xml:space="preserve">potential antioxidant activity (1). </w:t>
      </w:r>
      <w:r>
        <w:rPr>
          <w:rStyle w:val="Ninguno"/>
          <w:rFonts w:ascii="Calibri" w:cs="Calibri" w:hAnsi="Calibri" w:eastAsia="Calibri"/>
          <w:color w:val="231f20"/>
          <w:u w:color="231f20"/>
          <w:rtl w:val="0"/>
          <w:lang w:val="en-US"/>
        </w:rPr>
        <w:t xml:space="preserve">Nanoceria has </w:t>
      </w:r>
      <w:r>
        <w:rPr>
          <w:rStyle w:val="Ninguno"/>
          <w:rFonts w:ascii="Calibri" w:cs="Calibri" w:hAnsi="Calibri" w:eastAsia="Calibri"/>
          <w:rtl w:val="0"/>
          <w:lang w:val="en-US"/>
        </w:rPr>
        <w:t xml:space="preserve">very attractive features such as high biocompatibility and large surface, which makes it an ideal therapeutic agent that can penetrate </w:t>
      </w:r>
      <w:r>
        <w:rPr>
          <w:rStyle w:val="Ninguno"/>
          <w:rFonts w:ascii="Calibri" w:cs="Calibri" w:hAnsi="Calibri" w:eastAsia="Calibri"/>
          <w:color w:val="000000"/>
          <w:u w:color="000000"/>
          <w:rtl w:val="0"/>
          <w:lang w:val="en-US"/>
        </w:rPr>
        <w:t xml:space="preserve">cell membranes and be used as a nanocarrier (2). </w:t>
      </w:r>
      <w:r>
        <w:rPr>
          <w:rStyle w:val="Ninguno"/>
          <w:rFonts w:ascii="Calibri" w:cs="Calibri" w:hAnsi="Calibri" w:eastAsia="Calibri"/>
          <w:rtl w:val="0"/>
          <w:lang w:val="en-US"/>
        </w:rPr>
        <w:t>Despite its growing pharmaceutical relevance, nanoceria effects on cardiovascular system remain unexplored.</w:t>
      </w:r>
    </w:p>
    <w:p>
      <w:pPr>
        <w:pStyle w:val="Cuerpo"/>
        <w:jc w:val="both"/>
        <w:rPr>
          <w:rStyle w:val="Ninguno"/>
          <w:rFonts w:ascii="Calibri" w:cs="Calibri" w:hAnsi="Calibri" w:eastAsia="Calibri"/>
        </w:rPr>
      </w:pPr>
      <w:r>
        <w:rPr>
          <w:rStyle w:val="Ninguno"/>
          <w:rFonts w:ascii="Calibri" w:cs="Calibri" w:hAnsi="Calibri" w:eastAsia="Calibri"/>
          <w:color w:val="000000"/>
          <w:u w:color="000000"/>
          <w:rtl w:val="0"/>
          <w:lang w:val="en-US"/>
        </w:rPr>
        <w:t xml:space="preserve">The main cause of </w:t>
      </w:r>
      <w:r>
        <w:rPr>
          <w:rStyle w:val="Ninguno"/>
          <w:rFonts w:ascii="Calibri" w:cs="Calibri" w:hAnsi="Calibri" w:eastAsia="Calibri"/>
          <w:rtl w:val="0"/>
          <w:lang w:val="en-US"/>
        </w:rPr>
        <w:t xml:space="preserve">saphenous vein bypass </w:t>
      </w:r>
      <w:r>
        <w:rPr>
          <w:rStyle w:val="Ninguno"/>
          <w:rFonts w:ascii="Calibri" w:cs="Calibri" w:hAnsi="Calibri" w:eastAsia="Calibri"/>
          <w:color w:val="000000"/>
          <w:u w:color="000000"/>
          <w:rtl w:val="0"/>
          <w:lang w:val="en-US"/>
        </w:rPr>
        <w:t xml:space="preserve">graft failure is the development of atherosclerosis (3). Oxidative stress accelerates endothelial dysfunction in atherosclerosis leading to vascular homeostasis alteration (4). </w:t>
      </w:r>
      <w:r>
        <w:rPr>
          <w:rStyle w:val="Ninguno"/>
          <w:rFonts w:ascii="Calibri" w:cs="Calibri" w:hAnsi="Calibri" w:eastAsia="Calibri"/>
          <w:rtl w:val="0"/>
          <w:lang w:val="en-US"/>
        </w:rPr>
        <w:t xml:space="preserve">Our hypothesis is that administration of nanoceria can decrease superoxide anion levels enhancing the nitric oxide bioavailability. Thus, the purpose of this work was to evaluate the effects of nanoceria on vasodilatation response to sodium nitroprusside (SNP) and whether it reduces oxidative stress on human saphenous vein. </w:t>
      </w: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en-US"/>
        </w:rPr>
        <w:t>Material and methods</w:t>
      </w:r>
    </w:p>
    <w:p>
      <w:pPr>
        <w:pStyle w:val="Cuerpo"/>
        <w:jc w:val="both"/>
        <w:rPr>
          <w:rStyle w:val="Ninguno"/>
          <w:rFonts w:ascii="Calibri" w:cs="Calibri" w:hAnsi="Calibri" w:eastAsia="Calibri"/>
        </w:rPr>
      </w:pPr>
      <w:r>
        <w:rPr>
          <w:rStyle w:val="Ninguno"/>
          <w:rFonts w:ascii="Calibri" w:cs="Calibri" w:hAnsi="Calibri" w:eastAsia="Calibri"/>
          <w:rtl w:val="0"/>
          <w:lang w:val="en-US"/>
        </w:rPr>
        <w:t xml:space="preserve">Twenty human saphenous veins were extracted following the usual surgical procedure for coronary bypass.  Vein segments (3 mm long) were mounted for isometric recording of tension in organ baths </w:t>
      </w:r>
      <w:r>
        <w:rPr>
          <w:rStyle w:val="Ninguno"/>
          <w:rFonts w:ascii="Calibri" w:cs="Calibri" w:hAnsi="Calibri" w:eastAsia="Calibri"/>
          <w:color w:val="000000"/>
          <w:u w:color="000000"/>
          <w:rtl w:val="0"/>
          <w:lang w:val="en-US"/>
        </w:rPr>
        <w:t>chambers containing Krebs-Henseleit solution</w:t>
      </w:r>
      <w:r>
        <w:rPr>
          <w:rStyle w:val="Ninguno"/>
          <w:rFonts w:ascii="Calibri" w:cs="Calibri" w:hAnsi="Calibri" w:eastAsia="Calibri"/>
          <w:rtl w:val="0"/>
          <w:lang w:val="en-US"/>
        </w:rPr>
        <w:t xml:space="preserve">. </w:t>
      </w:r>
      <w:r>
        <w:rPr>
          <w:rStyle w:val="Ninguno"/>
          <w:rFonts w:ascii="Calibri" w:cs="Calibri" w:hAnsi="Calibri" w:eastAsia="Calibri"/>
          <w:color w:val="000000"/>
          <w:u w:color="000000"/>
          <w:rtl w:val="0"/>
          <w:lang w:val="en-US"/>
        </w:rPr>
        <w:t>Concentration-response curves to SNP (10</w:t>
      </w:r>
      <w:r>
        <w:rPr>
          <w:rStyle w:val="Ninguno"/>
          <w:rFonts w:ascii="Calibri" w:cs="Calibri" w:hAnsi="Calibri" w:eastAsia="Calibri"/>
          <w:color w:val="000000"/>
          <w:position w:val="12"/>
          <w:u w:color="000000"/>
          <w:vertAlign w:val="superscript"/>
          <w:rtl w:val="0"/>
          <w:lang w:val="en-US"/>
        </w:rPr>
        <w:t>-10</w:t>
      </w:r>
      <w:r>
        <w:rPr>
          <w:rStyle w:val="Ninguno"/>
          <w:rFonts w:ascii="Calibri" w:cs="Calibri" w:hAnsi="Calibri" w:eastAsia="Calibri"/>
          <w:color w:val="000000"/>
          <w:u w:color="000000"/>
          <w:rtl w:val="0"/>
          <w:lang w:val="en-US"/>
        </w:rPr>
        <w:t>-10</w:t>
      </w:r>
      <w:r>
        <w:rPr>
          <w:rStyle w:val="Ninguno"/>
          <w:rFonts w:ascii="Calibri" w:cs="Calibri" w:hAnsi="Calibri" w:eastAsia="Calibri"/>
          <w:color w:val="000000"/>
          <w:position w:val="12"/>
          <w:u w:color="000000"/>
          <w:vertAlign w:val="superscript"/>
          <w:rtl w:val="0"/>
          <w:lang w:val="en-US"/>
        </w:rPr>
        <w:t>-6</w:t>
      </w:r>
      <w:r>
        <w:rPr>
          <w:rStyle w:val="Ninguno"/>
          <w:rFonts w:ascii="Calibri" w:cs="Calibri" w:hAnsi="Calibri" w:eastAsia="Calibri"/>
          <w:color w:val="000000"/>
          <w:u w:color="000000"/>
          <w:rtl w:val="0"/>
          <w:lang w:val="en-US"/>
        </w:rPr>
        <w:t>M) were obtained</w:t>
      </w:r>
      <w:r>
        <w:rPr>
          <w:rStyle w:val="Ninguno"/>
          <w:rFonts w:ascii="Calibri" w:cs="Calibri" w:hAnsi="Calibri" w:eastAsia="Calibri"/>
          <w:rtl w:val="0"/>
          <w:lang w:val="en-US"/>
        </w:rPr>
        <w:t xml:space="preserve"> </w:t>
      </w:r>
      <w:r>
        <w:rPr>
          <w:rStyle w:val="Ninguno"/>
          <w:rFonts w:ascii="Calibri" w:cs="Calibri" w:hAnsi="Calibri" w:eastAsia="Calibri"/>
          <w:color w:val="000000"/>
          <w:u w:color="000000"/>
          <w:rtl w:val="0"/>
          <w:lang w:val="en-US"/>
        </w:rPr>
        <w:t xml:space="preserve">in the absence and presence of </w:t>
      </w:r>
      <w:r>
        <w:rPr>
          <w:rStyle w:val="Ninguno"/>
          <w:rFonts w:ascii="Calibri" w:cs="Calibri" w:hAnsi="Calibri" w:eastAsia="Calibri"/>
          <w:rtl w:val="0"/>
          <w:lang w:val="en-US"/>
        </w:rPr>
        <w:t xml:space="preserve">nanoceria (10, 20 and 40 ug/ml) previously incubated for 30 minutes. Protein levels of soluble guanylil cyclase (sGC) and both isoforms of superoxide dismutase (SOD) were measured by western blot. </w:t>
      </w:r>
    </w:p>
    <w:p>
      <w:pPr>
        <w:pStyle w:val="HTML Preformatted"/>
        <w:shd w:val="clear" w:color="auto" w:fill="ffffff"/>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jc w:val="both"/>
        <w:rPr>
          <w:rStyle w:val="Ninguno"/>
          <w:rFonts w:ascii="Calibri" w:cs="Calibri" w:hAnsi="Calibri" w:eastAsia="Calibri"/>
          <w:sz w:val="24"/>
          <w:szCs w:val="24"/>
          <w:lang w:val="en-US"/>
        </w:rPr>
      </w:pPr>
      <w:r>
        <w:rPr>
          <w:rStyle w:val="Ninguno"/>
          <w:rFonts w:ascii="Calibri" w:cs="Calibri" w:hAnsi="Calibri" w:eastAsia="Calibri"/>
          <w:b w:val="1"/>
          <w:bCs w:val="1"/>
          <w:sz w:val="24"/>
          <w:szCs w:val="24"/>
          <w:rtl w:val="0"/>
          <w:lang w:val="en-US"/>
        </w:rPr>
        <w:t>Results</w:t>
      </w:r>
      <w:r>
        <w:rPr>
          <w:rStyle w:val="Ninguno"/>
          <w:rFonts w:ascii="Calibri" w:cs="Calibri" w:hAnsi="Calibri" w:eastAsia="Calibri"/>
          <w:sz w:val="24"/>
          <w:szCs w:val="24"/>
          <w:rtl w:val="0"/>
          <w:lang w:val="en-US"/>
        </w:rPr>
        <w:t xml:space="preserve"> </w:t>
      </w:r>
    </w:p>
    <w:p>
      <w:pPr>
        <w:pStyle w:val="HTML Preformatted"/>
        <w:shd w:val="clear" w:color="auto" w:fill="ffffff"/>
        <w:tabs>
          <w:tab w:val="left" w:pos="7998"/>
          <w:tab w:val="left" w:pos="7998"/>
          <w:tab w:val="left" w:pos="7998"/>
          <w:tab w:val="left" w:pos="7998"/>
          <w:tab w:val="left" w:pos="7998"/>
          <w:tab w:val="left" w:pos="7998"/>
          <w:tab w:val="left" w:pos="7998"/>
          <w:tab w:val="left" w:pos="7998"/>
          <w:tab w:val="clear" w:pos="8244"/>
          <w:tab w:val="clear" w:pos="9160"/>
          <w:tab w:val="clear" w:pos="10076"/>
          <w:tab w:val="clear" w:pos="10992"/>
          <w:tab w:val="clear" w:pos="11908"/>
          <w:tab w:val="clear" w:pos="12824"/>
          <w:tab w:val="clear" w:pos="13740"/>
          <w:tab w:val="clear" w:pos="14656"/>
        </w:tabs>
        <w:jc w:val="both"/>
        <w:rPr>
          <w:rStyle w:val="Ninguno"/>
          <w:rFonts w:ascii="Calibri" w:cs="Calibri" w:hAnsi="Calibri" w:eastAsia="Calibri"/>
          <w:sz w:val="24"/>
          <w:szCs w:val="24"/>
          <w:lang w:val="en-US"/>
        </w:rPr>
      </w:pPr>
      <w:r>
        <w:rPr>
          <w:rStyle w:val="Ninguno"/>
          <w:rFonts w:ascii="Calibri" w:cs="Calibri" w:hAnsi="Calibri" w:eastAsia="Calibri"/>
          <w:sz w:val="24"/>
          <w:szCs w:val="24"/>
          <w:rtl w:val="0"/>
          <w:lang w:val="en-US"/>
        </w:rPr>
        <w:t xml:space="preserve">Nanoceria 20 ug/ml shifted to the left the </w:t>
      </w:r>
      <w:r>
        <w:rPr>
          <w:rStyle w:val="Ninguno"/>
          <w:rFonts w:ascii="Calibri" w:cs="Calibri" w:hAnsi="Calibri" w:eastAsia="Calibri"/>
          <w:color w:val="000000"/>
          <w:sz w:val="24"/>
          <w:szCs w:val="24"/>
          <w:u w:color="000000"/>
          <w:rtl w:val="0"/>
          <w:lang w:val="en-US"/>
        </w:rPr>
        <w:t>concentration-response curve to SNP</w:t>
      </w:r>
      <w:r>
        <w:rPr>
          <w:rStyle w:val="Ninguno"/>
          <w:rFonts w:ascii="Calibri" w:cs="Calibri" w:hAnsi="Calibri" w:eastAsia="Calibri"/>
          <w:sz w:val="24"/>
          <w:szCs w:val="24"/>
          <w:rtl w:val="0"/>
          <w:lang w:val="en-US"/>
        </w:rPr>
        <w:t xml:space="preserve">, an endothelium-independent nitric oxide donor that </w:t>
      </w:r>
      <w:r>
        <w:rPr>
          <w:rStyle w:val="Ninguno"/>
          <w:rFonts w:ascii="Calibri" w:cs="Calibri" w:hAnsi="Calibri" w:eastAsia="Calibri"/>
          <w:color w:val="222222"/>
          <w:sz w:val="24"/>
          <w:szCs w:val="24"/>
          <w:u w:color="222222"/>
          <w:shd w:val="clear" w:color="auto" w:fill="ffffff"/>
          <w:rtl w:val="0"/>
          <w:lang w:val="en-US"/>
        </w:rPr>
        <w:t xml:space="preserve">triggers </w:t>
      </w:r>
      <w:r>
        <w:rPr>
          <w:rStyle w:val="Ninguno"/>
          <w:rFonts w:ascii="Calibri" w:cs="Calibri" w:hAnsi="Calibri" w:eastAsia="Calibri"/>
          <w:color w:val="000000"/>
          <w:sz w:val="24"/>
          <w:szCs w:val="24"/>
          <w:u w:color="000000"/>
          <w:shd w:val="clear" w:color="auto" w:fill="ffffff"/>
          <w:rtl w:val="0"/>
          <w:lang w:val="en-US"/>
        </w:rPr>
        <w:t>sGC activation</w:t>
      </w:r>
      <w:r>
        <w:rPr>
          <w:rStyle w:val="Ninguno"/>
          <w:rFonts w:ascii="Calibri" w:cs="Calibri" w:hAnsi="Calibri" w:eastAsia="Calibri"/>
          <w:sz w:val="24"/>
          <w:szCs w:val="24"/>
          <w:rtl w:val="0"/>
          <w:lang w:val="en-US"/>
        </w:rPr>
        <w:t xml:space="preserve">. However, there were no changes in the protein levels of sGC after incubation with nanoceria, while there was an increase in the expression of both SOD isoforms. Therefore, the </w:t>
      </w:r>
      <w:r>
        <w:rPr>
          <w:rStyle w:val="Ninguno"/>
          <w:rFonts w:ascii="Calibri" w:cs="Calibri" w:hAnsi="Calibri" w:eastAsia="Calibri"/>
          <w:color w:val="000000"/>
          <w:sz w:val="24"/>
          <w:szCs w:val="24"/>
          <w:u w:color="000000"/>
          <w:shd w:val="clear" w:color="auto" w:fill="ffffff"/>
          <w:rtl w:val="0"/>
          <w:lang w:val="en-US"/>
        </w:rPr>
        <w:t xml:space="preserve">increased SNP-response could be related to </w:t>
      </w:r>
      <w:r>
        <w:rPr>
          <w:rStyle w:val="Ninguno"/>
          <w:rFonts w:ascii="Calibri" w:cs="Calibri" w:hAnsi="Calibri" w:eastAsia="Calibri"/>
          <w:sz w:val="24"/>
          <w:szCs w:val="24"/>
          <w:rtl w:val="0"/>
          <w:lang w:val="en-US"/>
        </w:rPr>
        <w:t>the antioxidant activity of nanoceria.</w:t>
      </w: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en-US"/>
        </w:rPr>
        <w:t xml:space="preserve">Conclusions </w:t>
      </w:r>
    </w:p>
    <w:p>
      <w:pPr>
        <w:pStyle w:val="Cuerpo"/>
        <w:jc w:val="both"/>
        <w:rPr>
          <w:rStyle w:val="Ninguno"/>
          <w:rFonts w:ascii="Calibri" w:cs="Calibri" w:hAnsi="Calibri" w:eastAsia="Calibri"/>
        </w:rPr>
      </w:pPr>
      <w:r>
        <w:rPr>
          <w:rStyle w:val="Ninguno"/>
          <w:rFonts w:ascii="Calibri" w:cs="Calibri" w:hAnsi="Calibri" w:eastAsia="Calibri"/>
          <w:rtl w:val="0"/>
          <w:lang w:val="en-US"/>
        </w:rPr>
        <w:t xml:space="preserve">Nanoceria exerts </w:t>
      </w:r>
      <w:r>
        <w:rPr>
          <w:rStyle w:val="Ninguno"/>
          <w:rFonts w:ascii="Calibri" w:cs="Calibri" w:hAnsi="Calibri" w:eastAsia="Calibri"/>
          <w:shd w:val="clear" w:color="auto" w:fill="ffffff"/>
          <w:rtl w:val="0"/>
          <w:lang w:val="en-US"/>
        </w:rPr>
        <w:t xml:space="preserve">antioxidant properties by increasing the </w:t>
      </w:r>
      <w:r>
        <w:rPr>
          <w:rStyle w:val="Ninguno"/>
          <w:rFonts w:ascii="Calibri" w:cs="Calibri" w:hAnsi="Calibri" w:eastAsia="Calibri"/>
          <w:rtl w:val="0"/>
          <w:lang w:val="en-US"/>
        </w:rPr>
        <w:t xml:space="preserve">SOD 1 and SOD 2 protein expression. This effect decreases superoxide anion, thus </w:t>
      </w:r>
      <w:r>
        <w:rPr>
          <w:rStyle w:val="Ninguno"/>
          <w:rFonts w:ascii="Calibri" w:cs="Calibri" w:hAnsi="Calibri" w:eastAsia="Calibri"/>
          <w:shd w:val="clear" w:color="auto" w:fill="ffffff"/>
          <w:rtl w:val="0"/>
          <w:lang w:val="en-US"/>
        </w:rPr>
        <w:t>enhancing the NO bioavailability and improving the vasodilator response to SNP in saphenous vein.</w:t>
      </w:r>
      <w:r>
        <w:rPr>
          <w:rStyle w:val="Ninguno"/>
          <w:rFonts w:ascii="Calibri" w:cs="Calibri" w:hAnsi="Calibri" w:eastAsia="Calibri"/>
          <w:rtl w:val="0"/>
          <w:lang w:val="en-US"/>
        </w:rPr>
        <w:t xml:space="preserve"> </w:t>
      </w: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en-US"/>
        </w:rPr>
        <w:t>References</w:t>
      </w:r>
    </w:p>
    <w:p>
      <w:pPr>
        <w:pStyle w:val="List Paragraph"/>
        <w:numPr>
          <w:ilvl w:val="0"/>
          <w:numId w:val="2"/>
        </w:numPr>
        <w:bidi w:val="0"/>
        <w:spacing w:after="0" w:line="240" w:lineRule="auto"/>
        <w:ind w:right="0"/>
        <w:jc w:val="both"/>
        <w:rPr>
          <w:sz w:val="24"/>
          <w:szCs w:val="24"/>
          <w:rtl w:val="0"/>
          <w:lang w:val="en-US"/>
        </w:rPr>
      </w:pPr>
      <w:r>
        <w:rPr>
          <w:rStyle w:val="Ninguno"/>
          <w:sz w:val="24"/>
          <w:szCs w:val="24"/>
          <w:rtl w:val="0"/>
          <w:lang w:val="en-US"/>
        </w:rPr>
        <w:t xml:space="preserve">Ceraldo I et al. </w:t>
      </w:r>
      <w:r>
        <w:rPr>
          <w:rStyle w:val="Ninguno"/>
          <w:sz w:val="24"/>
          <w:szCs w:val="24"/>
          <w:rtl w:val="0"/>
          <w:lang w:val="es-ES_tradnl"/>
        </w:rPr>
        <w:t>Nanoscale 2011, 3, 1411</w:t>
      </w:r>
    </w:p>
    <w:p>
      <w:pPr>
        <w:pStyle w:val="List Paragraph"/>
        <w:numPr>
          <w:ilvl w:val="0"/>
          <w:numId w:val="2"/>
        </w:numPr>
        <w:bidi w:val="0"/>
        <w:spacing w:after="0" w:line="240" w:lineRule="auto"/>
        <w:ind w:right="0"/>
        <w:jc w:val="both"/>
        <w:rPr>
          <w:sz w:val="24"/>
          <w:szCs w:val="24"/>
          <w:rtl w:val="0"/>
          <w:lang w:val="en-US"/>
        </w:rPr>
      </w:pPr>
      <w:r>
        <w:rPr>
          <w:rStyle w:val="Ninguno"/>
          <w:color w:val="000000"/>
          <w:sz w:val="24"/>
          <w:szCs w:val="24"/>
          <w:u w:color="000000"/>
          <w:rtl w:val="0"/>
          <w:lang w:val="en-US"/>
        </w:rPr>
        <w:t xml:space="preserve">Menchon C et al. </w:t>
      </w:r>
      <w:r>
        <w:rPr>
          <w:rStyle w:val="Ninguno"/>
          <w:sz w:val="24"/>
          <w:szCs w:val="24"/>
          <w:rtl w:val="0"/>
          <w:lang w:val="en-US"/>
        </w:rPr>
        <w:t>Small 2012, XX, 1</w:t>
      </w:r>
      <w:r>
        <w:rPr>
          <w:rStyle w:val="Ninguno"/>
          <w:sz w:val="24"/>
          <w:szCs w:val="24"/>
          <w:rtl w:val="0"/>
          <w:lang w:val="en-US"/>
        </w:rPr>
        <w:t>–</w:t>
      </w:r>
      <w:r>
        <w:rPr>
          <w:rStyle w:val="Ninguno"/>
          <w:sz w:val="24"/>
          <w:szCs w:val="24"/>
          <w:rtl w:val="0"/>
          <w:lang w:val="en-US"/>
        </w:rPr>
        <w:t>9</w:t>
      </w:r>
    </w:p>
    <w:p>
      <w:pPr>
        <w:pStyle w:val="List Paragraph"/>
        <w:numPr>
          <w:ilvl w:val="0"/>
          <w:numId w:val="2"/>
        </w:numPr>
        <w:bidi w:val="0"/>
        <w:spacing w:after="0" w:line="240" w:lineRule="auto"/>
        <w:ind w:right="0"/>
        <w:jc w:val="both"/>
        <w:rPr>
          <w:sz w:val="24"/>
          <w:szCs w:val="24"/>
          <w:rtl w:val="0"/>
          <w:lang w:val="en-US"/>
        </w:rPr>
      </w:pPr>
      <w:r>
        <w:rPr>
          <w:rStyle w:val="Ninguno"/>
          <w:color w:val="000000"/>
          <w:sz w:val="24"/>
          <w:szCs w:val="24"/>
          <w:u w:color="000000"/>
          <w:rtl w:val="0"/>
          <w:lang w:val="en-US"/>
        </w:rPr>
        <w:t xml:space="preserve">Motwani JG, Topol EJ. Circulation. </w:t>
      </w:r>
      <w:r>
        <w:rPr>
          <w:rStyle w:val="Ninguno"/>
          <w:color w:val="000000"/>
          <w:sz w:val="24"/>
          <w:szCs w:val="24"/>
          <w:u w:color="000000"/>
          <w:rtl w:val="0"/>
          <w:lang w:val="es-ES_tradnl"/>
        </w:rPr>
        <w:t>1998;97(9):916-31.</w:t>
      </w:r>
    </w:p>
    <w:p>
      <w:pPr>
        <w:pStyle w:val="List Paragraph"/>
        <w:numPr>
          <w:ilvl w:val="0"/>
          <w:numId w:val="2"/>
        </w:numPr>
        <w:bidi w:val="0"/>
        <w:spacing w:after="0" w:line="240" w:lineRule="auto"/>
        <w:ind w:right="0"/>
        <w:jc w:val="both"/>
        <w:rPr>
          <w:sz w:val="24"/>
          <w:szCs w:val="24"/>
          <w:rtl w:val="0"/>
          <w:lang w:val="en-US"/>
        </w:rPr>
      </w:pPr>
      <w:r>
        <w:rPr>
          <w:rStyle w:val="Ninguno"/>
          <w:sz w:val="24"/>
          <w:szCs w:val="24"/>
          <w:rtl w:val="0"/>
          <w:lang w:val="en-US"/>
        </w:rPr>
        <w:t>Marchio P et al. Oxidative Medicine and Cellular Longevity, 2019. Article ID 8563845, 32 pages.</w:t>
      </w:r>
    </w:p>
    <w:p>
      <w:pPr>
        <w:pStyle w:val="List Paragraph"/>
        <w:bidi w:val="0"/>
        <w:spacing w:after="0" w:line="240" w:lineRule="auto"/>
        <w:ind w:left="0" w:right="0" w:firstLine="0"/>
        <w:jc w:val="both"/>
        <w:rPr>
          <w:rStyle w:val="Ninguno"/>
          <w:sz w:val="24"/>
          <w:szCs w:val="24"/>
          <w:rtl w:val="0"/>
          <w:lang w:val="en-US"/>
        </w:rPr>
      </w:pP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it-IT"/>
        </w:rPr>
        <w:t>Financial support</w:t>
      </w:r>
    </w:p>
    <w:p>
      <w:pPr>
        <w:pStyle w:val="Cuerpo"/>
        <w:jc w:val="both"/>
        <w:rPr>
          <w:rStyle w:val="Ninguno"/>
          <w:rFonts w:ascii="Calibri" w:cs="Calibri" w:hAnsi="Calibri" w:eastAsia="Calibri"/>
        </w:rPr>
      </w:pPr>
      <w:r>
        <w:rPr>
          <w:rStyle w:val="Ninguno"/>
          <w:rFonts w:ascii="Calibri" w:cs="Calibri" w:hAnsi="Calibri" w:eastAsia="Calibri"/>
          <w:u w:color="000000"/>
          <w:rtl w:val="0"/>
          <w:lang w:val="es-ES_tradnl"/>
        </w:rPr>
        <w:t>Universitat de Valencia. P</w:t>
      </w:r>
      <w:r>
        <w:rPr>
          <w:rStyle w:val="Ninguno"/>
          <w:rFonts w:ascii="Calibri" w:cs="Calibri" w:hAnsi="Calibri" w:eastAsia="Calibri"/>
          <w:rtl w:val="0"/>
        </w:rPr>
        <w:t>rograma propi d</w:t>
      </w:r>
      <w:r>
        <w:rPr>
          <w:rStyle w:val="Ninguno"/>
          <w:rFonts w:ascii="Calibri" w:cs="Calibri" w:hAnsi="Calibri" w:eastAsia="Calibri"/>
          <w:rtl w:val="0"/>
          <w:lang w:val="es-ES_tradnl"/>
        </w:rPr>
        <w:t>’</w:t>
      </w:r>
      <w:r>
        <w:rPr>
          <w:rStyle w:val="Ninguno"/>
          <w:rFonts w:ascii="Calibri" w:cs="Calibri" w:hAnsi="Calibri" w:eastAsia="Calibri"/>
          <w:rtl w:val="0"/>
          <w:lang w:val="es-ES_tradnl"/>
        </w:rPr>
        <w:t>Investigaci</w:t>
      </w:r>
      <w:r>
        <w:rPr>
          <w:rStyle w:val="Ninguno"/>
          <w:rFonts w:ascii="Calibri" w:cs="Calibri" w:hAnsi="Calibri" w:eastAsia="Calibri"/>
          <w:rtl w:val="0"/>
          <w:lang w:val="es-ES_tradnl"/>
        </w:rPr>
        <w:t>ó</w:t>
      </w:r>
      <w:r>
        <w:rPr>
          <w:rStyle w:val="Ninguno"/>
          <w:rFonts w:ascii="Calibri" w:cs="Calibri" w:hAnsi="Calibri" w:eastAsia="Calibri"/>
          <w:rtl w:val="0"/>
          <w:lang w:val="es-ES_tradnl"/>
        </w:rPr>
        <w:t xml:space="preserve"> del Vicerectorat d</w:t>
      </w:r>
      <w:r>
        <w:rPr>
          <w:rStyle w:val="Ninguno"/>
          <w:rFonts w:ascii="Calibri" w:cs="Calibri" w:hAnsi="Calibri" w:eastAsia="Calibri"/>
          <w:rtl w:val="0"/>
          <w:lang w:val="es-ES_tradnl"/>
        </w:rPr>
        <w:t>’</w:t>
      </w:r>
      <w:r>
        <w:rPr>
          <w:rStyle w:val="Ninguno"/>
          <w:rFonts w:ascii="Calibri" w:cs="Calibri" w:hAnsi="Calibri" w:eastAsia="Calibri"/>
          <w:rtl w:val="0"/>
          <w:lang w:val="es-ES_tradnl"/>
        </w:rPr>
        <w:t>Investigaci</w:t>
      </w:r>
      <w:r>
        <w:rPr>
          <w:rStyle w:val="Ninguno"/>
          <w:rFonts w:ascii="Calibri" w:cs="Calibri" w:hAnsi="Calibri" w:eastAsia="Calibri"/>
          <w:rtl w:val="0"/>
          <w:lang w:val="es-ES_tradnl"/>
        </w:rPr>
        <w:t>ó</w:t>
      </w:r>
      <w:r>
        <w:rPr>
          <w:rStyle w:val="Ninguno"/>
          <w:rFonts w:ascii="Calibri" w:cs="Calibri" w:hAnsi="Calibri" w:eastAsia="Calibri"/>
          <w:rtl w:val="0"/>
          <w:lang w:val="es-ES_tradnl"/>
        </w:rPr>
        <w:t xml:space="preserve"> de la UV, convocat</w:t>
      </w:r>
      <w:r>
        <w:rPr>
          <w:rStyle w:val="Ninguno"/>
          <w:rFonts w:ascii="Calibri" w:cs="Calibri" w:hAnsi="Calibri" w:eastAsia="Calibri"/>
          <w:rtl w:val="0"/>
          <w:lang w:val="es-ES_tradnl"/>
        </w:rPr>
        <w:t>ò</w:t>
      </w:r>
      <w:r>
        <w:rPr>
          <w:rStyle w:val="Ninguno"/>
          <w:rFonts w:ascii="Calibri" w:cs="Calibri" w:hAnsi="Calibri" w:eastAsia="Calibri"/>
          <w:rtl w:val="0"/>
          <w:lang w:val="it-IT"/>
        </w:rPr>
        <w:t>ria d</w:t>
      </w:r>
      <w:r>
        <w:rPr>
          <w:rStyle w:val="Ninguno"/>
          <w:rFonts w:ascii="Calibri" w:cs="Calibri" w:hAnsi="Calibri" w:eastAsia="Calibri"/>
          <w:rtl w:val="0"/>
          <w:lang w:val="es-ES_tradnl"/>
        </w:rPr>
        <w:t>’</w:t>
      </w:r>
      <w:r>
        <w:rPr>
          <w:rStyle w:val="Ninguno"/>
          <w:rFonts w:ascii="Calibri" w:cs="Calibri" w:hAnsi="Calibri" w:eastAsia="Calibri"/>
          <w:rtl w:val="0"/>
          <w:lang w:val="en-US"/>
        </w:rPr>
        <w:t>Accions Especials, expedient UV</w:t>
      </w:r>
      <w:r>
        <w:rPr>
          <w:rStyle w:val="Ninguno"/>
          <w:rFonts w:ascii="Calibri" w:cs="Calibri" w:hAnsi="Calibri" w:eastAsia="Calibri"/>
          <w:rtl w:val="0"/>
          <w:lang w:val="es-ES_tradnl"/>
        </w:rPr>
        <w:t>‐</w:t>
      </w:r>
      <w:r>
        <w:rPr>
          <w:rStyle w:val="Ninguno"/>
          <w:rFonts w:ascii="Calibri" w:cs="Calibri" w:hAnsi="Calibri" w:eastAsia="Calibri"/>
          <w:rtl w:val="0"/>
          <w:lang w:val="nl-NL"/>
        </w:rPr>
        <w:t>INV</w:t>
      </w:r>
      <w:r>
        <w:rPr>
          <w:rStyle w:val="Ninguno"/>
          <w:rFonts w:ascii="Calibri" w:cs="Calibri" w:hAnsi="Calibri" w:eastAsia="Calibri"/>
          <w:rtl w:val="0"/>
          <w:lang w:val="es-ES_tradnl"/>
        </w:rPr>
        <w:t>‐</w:t>
      </w:r>
      <w:r>
        <w:rPr>
          <w:rStyle w:val="Ninguno"/>
          <w:rFonts w:ascii="Calibri" w:cs="Calibri" w:hAnsi="Calibri" w:eastAsia="Calibri"/>
          <w:rtl w:val="0"/>
        </w:rPr>
        <w:t>AE</w:t>
      </w:r>
      <w:r>
        <w:rPr>
          <w:rStyle w:val="Ninguno"/>
          <w:rFonts w:ascii="Calibri" w:cs="Calibri" w:hAnsi="Calibri" w:eastAsia="Calibri"/>
          <w:rtl w:val="0"/>
          <w:lang w:val="es-ES_tradnl"/>
        </w:rPr>
        <w:t>‐</w:t>
      </w:r>
      <w:r>
        <w:rPr>
          <w:rStyle w:val="Ninguno"/>
          <w:rFonts w:ascii="Calibri" w:cs="Calibri" w:hAnsi="Calibri" w:eastAsia="Calibri"/>
          <w:rtl w:val="0"/>
        </w:rPr>
        <w:t>1544052</w:t>
      </w:r>
    </w:p>
    <w:p>
      <w:pPr>
        <w:pStyle w:val="Cuerpo"/>
        <w:jc w:val="both"/>
        <w:rPr>
          <w:rStyle w:val="Ninguno"/>
          <w:rFonts w:ascii="Calibri" w:cs="Calibri" w:hAnsi="Calibri" w:eastAsia="Calibri"/>
        </w:rPr>
      </w:pPr>
    </w:p>
    <w:p>
      <w:pPr>
        <w:pStyle w:val="Cuerpo"/>
        <w:jc w:val="both"/>
        <w:rPr>
          <w:rStyle w:val="Ninguno"/>
          <w:rFonts w:ascii="Calibri" w:cs="Calibri" w:hAnsi="Calibri" w:eastAsia="Calibri"/>
          <w:b w:val="1"/>
          <w:bCs w:val="1"/>
        </w:rPr>
      </w:pPr>
      <w:r>
        <w:rPr>
          <w:rStyle w:val="Ninguno"/>
          <w:rFonts w:ascii="Calibri" w:cs="Calibri" w:hAnsi="Calibri" w:eastAsia="Calibri"/>
          <w:b w:val="1"/>
          <w:bCs w:val="1"/>
          <w:rtl w:val="0"/>
          <w:lang w:val="es-ES_tradnl"/>
        </w:rPr>
        <w:t>Biography</w:t>
      </w:r>
    </w:p>
    <w:p>
      <w:pPr>
        <w:pStyle w:val="Cuerpo"/>
        <w:jc w:val="both"/>
        <w:rPr>
          <w:rStyle w:val="Ninguno"/>
          <w:rFonts w:ascii="Calibri" w:cs="Calibri" w:hAnsi="Calibri" w:eastAsia="Calibri"/>
        </w:rPr>
      </w:pPr>
      <w:r>
        <w:rPr>
          <w:rStyle w:val="Ninguno"/>
          <w:rFonts w:ascii="Calibri" w:cs="Calibri" w:hAnsi="Calibri" w:eastAsia="Calibri"/>
          <w:rtl w:val="0"/>
          <w:lang w:val="es-ES_tradnl"/>
        </w:rPr>
        <w:t xml:space="preserve">Cristina Rueda has finished her medical studies in 2007 at the University of Valencia. She </w:t>
      </w:r>
      <w:r>
        <w:rPr>
          <w:rStyle w:val="Ninguno"/>
          <w:rFonts w:ascii="Calibri" w:cs="Calibri" w:hAnsi="Calibri" w:eastAsia="Calibri"/>
          <w:rtl w:val="0"/>
          <w:lang w:val="en-US"/>
        </w:rPr>
        <w:t xml:space="preserve">completed his </w:t>
      </w:r>
      <w:r>
        <w:rPr>
          <w:rStyle w:val="Ninguno"/>
          <w:rFonts w:ascii="Calibri" w:cs="Calibri" w:hAnsi="Calibri" w:eastAsia="Calibri"/>
          <w:rtl w:val="0"/>
          <w:lang w:val="es-ES_tradnl"/>
        </w:rPr>
        <w:t>training in Cardiovascular Surgery in 2013 at the Hospital Cl</w:t>
      </w:r>
      <w:r>
        <w:rPr>
          <w:rStyle w:val="Ninguno"/>
          <w:rFonts w:ascii="Calibri" w:cs="Calibri" w:hAnsi="Calibri" w:eastAsia="Calibri"/>
          <w:rtl w:val="0"/>
          <w:lang w:val="es-ES_tradnl"/>
        </w:rPr>
        <w:t>í</w:t>
      </w:r>
      <w:r>
        <w:rPr>
          <w:rStyle w:val="Ninguno"/>
          <w:rFonts w:ascii="Calibri" w:cs="Calibri" w:hAnsi="Calibri" w:eastAsia="Calibri"/>
          <w:rtl w:val="0"/>
          <w:lang w:val="es-ES_tradnl"/>
        </w:rPr>
        <w:t xml:space="preserve">nico Universitario of Valencia </w:t>
      </w:r>
      <w:r>
        <w:rPr>
          <w:rStyle w:val="Ninguno"/>
          <w:rFonts w:ascii="Calibri" w:cs="Calibri" w:hAnsi="Calibri" w:eastAsia="Calibri"/>
          <w:rtl w:val="0"/>
          <w:lang w:val="en-US"/>
        </w:rPr>
        <w:t>where she worked as a</w:t>
      </w:r>
      <w:r>
        <w:rPr>
          <w:rStyle w:val="Ninguno"/>
          <w:rFonts w:ascii="Calibri" w:cs="Calibri" w:hAnsi="Calibri" w:eastAsia="Calibri"/>
          <w:rtl w:val="0"/>
          <w:lang w:val="es-ES_tradnl"/>
        </w:rPr>
        <w:t xml:space="preserve"> Cardiovascular Surgeon </w:t>
      </w:r>
      <w:r>
        <w:rPr>
          <w:rStyle w:val="Ninguno"/>
          <w:rFonts w:ascii="Calibri" w:cs="Calibri" w:hAnsi="Calibri" w:eastAsia="Calibri"/>
          <w:rtl w:val="0"/>
          <w:lang w:val="en-US"/>
        </w:rPr>
        <w:t>until 2018. Since then she has worked at the Hospital General Universitario de Valencia.</w:t>
      </w:r>
      <w:r>
        <w:rPr>
          <w:rStyle w:val="Ninguno"/>
          <w:rFonts w:ascii="Calibri" w:cs="Calibri" w:hAnsi="Calibri" w:eastAsia="Calibri"/>
          <w:rtl w:val="0"/>
          <w:lang w:val="es-ES_tradnl"/>
        </w:rPr>
        <w:t xml:space="preserve"> She has published papers in national and international journals and she has </w:t>
      </w:r>
      <w:r>
        <w:rPr>
          <w:rStyle w:val="Ninguno"/>
          <w:rFonts w:ascii="Calibri" w:cs="Calibri" w:hAnsi="Calibri" w:eastAsia="Calibri"/>
          <w:rtl w:val="0"/>
          <w:lang w:val="en-US"/>
        </w:rPr>
        <w:t xml:space="preserve">participated in clinical trials. Since 2008 </w:t>
      </w:r>
      <w:r>
        <w:rPr>
          <w:rStyle w:val="Ninguno"/>
          <w:rFonts w:ascii="Calibri" w:cs="Calibri" w:hAnsi="Calibri" w:eastAsia="Calibri"/>
          <w:rtl w:val="0"/>
          <w:lang w:val="es-ES_tradnl"/>
        </w:rPr>
        <w:t>s</w:t>
      </w:r>
      <w:r>
        <w:rPr>
          <w:rStyle w:val="Ninguno"/>
          <w:rFonts w:ascii="Calibri" w:cs="Calibri" w:hAnsi="Calibri" w:eastAsia="Calibri"/>
          <w:rtl w:val="0"/>
          <w:lang w:val="en-US"/>
        </w:rPr>
        <w:t>he has collaborated with the Physiology Department of the University of Valencia in the vascular phy</w:t>
      </w:r>
      <w:r>
        <w:rPr>
          <w:rStyle w:val="Ninguno"/>
          <w:rFonts w:ascii="Calibri" w:cs="Calibri" w:hAnsi="Calibri" w:eastAsia="Calibri"/>
          <w:rtl w:val="0"/>
          <w:lang w:val="es-ES_tradnl"/>
        </w:rPr>
        <w:t>sio</w:t>
      </w:r>
      <w:r>
        <w:rPr>
          <w:rStyle w:val="Ninguno"/>
          <w:rFonts w:ascii="Calibri" w:cs="Calibri" w:hAnsi="Calibri" w:eastAsia="Calibri"/>
          <w:rtl w:val="0"/>
          <w:lang w:val="en-US"/>
        </w:rPr>
        <w:t>logy research program.</w:t>
      </w:r>
    </w:p>
    <w:p>
      <w:pPr>
        <w:pStyle w:val="Cuerpo"/>
        <w:jc w:val="both"/>
        <w:rPr>
          <w:rStyle w:val="Ninguno"/>
          <w:rFonts w:ascii="Calibri" w:cs="Calibri" w:hAnsi="Calibri" w:eastAsia="Calibri"/>
        </w:rPr>
      </w:pPr>
    </w:p>
    <w:p>
      <w:pPr>
        <w:pStyle w:val="Cuerpo"/>
      </w:pPr>
      <w:r>
        <w:rPr>
          <w:rStyle w:val="Ninguno"/>
          <w:rFonts w:ascii="Calibri" w:cs="Calibri" w:hAnsi="Calibri" w:eastAsia="Calibri"/>
          <w:b w:val="1"/>
          <w:bCs w:val="1"/>
          <w:rtl w:val="0"/>
          <w:lang w:val="en-US"/>
        </w:rPr>
        <w:t xml:space="preserve">Presenting author details </w:t>
      </w:r>
      <w:r>
        <w:rPr>
          <w:rStyle w:val="Ninguno"/>
          <w:rFonts w:ascii="Calibri" w:cs="Calibri" w:hAnsi="Calibri" w:eastAsia="Calibri"/>
          <w:b w:val="1"/>
          <w:bCs w:val="1"/>
          <w:lang w:val="en-US"/>
        </w:rPr>
        <w:br w:type="textWrapping"/>
      </w:r>
      <w:r>
        <w:rPr>
          <w:rFonts w:ascii="Calibri" w:cs="Calibri" w:hAnsi="Calibri" w:eastAsia="Calibri"/>
          <w:rtl w:val="0"/>
          <w:lang w:val="en-US"/>
        </w:rPr>
        <w:t xml:space="preserve">Full name: </w:t>
      </w:r>
      <w:r>
        <w:rPr>
          <w:rFonts w:ascii="Calibri" w:cs="Calibri" w:hAnsi="Calibri" w:eastAsia="Calibri"/>
          <w:rtl w:val="0"/>
          <w:lang w:val="es-ES_tradnl"/>
        </w:rPr>
        <w:t>Cristina Rueda Mu</w:t>
      </w:r>
      <w:r>
        <w:rPr>
          <w:rFonts w:ascii="Calibri" w:cs="Calibri" w:hAnsi="Calibri" w:eastAsia="Calibri"/>
          <w:rtl w:val="0"/>
          <w:lang w:val="es-ES_tradnl"/>
        </w:rPr>
        <w:t>ñ</w:t>
      </w:r>
      <w:r>
        <w:rPr>
          <w:rFonts w:ascii="Calibri" w:cs="Calibri" w:hAnsi="Calibri" w:eastAsia="Calibri"/>
          <w:rtl w:val="0"/>
          <w:lang w:val="es-ES_tradnl"/>
        </w:rPr>
        <w:t>oz</w:t>
      </w:r>
      <w:r>
        <w:rPr>
          <w:rFonts w:ascii="Calibri" w:cs="Calibri" w:hAnsi="Calibri" w:eastAsia="Calibri"/>
          <w:lang w:val="en-US"/>
        </w:rPr>
        <w:br w:type="textWrapping"/>
      </w:r>
      <w:r>
        <w:rPr>
          <w:rFonts w:ascii="Calibri" w:cs="Calibri" w:hAnsi="Calibri" w:eastAsia="Calibri"/>
          <w:rtl w:val="0"/>
          <w:lang w:val="en-US"/>
        </w:rPr>
        <w:t>Contact number:</w:t>
      </w:r>
      <w:r>
        <w:rPr>
          <w:rFonts w:ascii="Calibri" w:cs="Calibri" w:hAnsi="Calibri" w:eastAsia="Calibri"/>
          <w:rtl w:val="0"/>
          <w:lang w:val="es-ES_tradnl"/>
        </w:rPr>
        <w:t xml:space="preserve"> 0034 636591667</w:t>
      </w:r>
      <w:r>
        <w:rPr>
          <w:rFonts w:ascii="Calibri" w:cs="Calibri" w:hAnsi="Calibri" w:eastAsia="Calibri"/>
          <w:lang w:val="en-US"/>
        </w:rPr>
        <w:br w:type="textWrapping"/>
      </w:r>
      <w:r>
        <w:rPr>
          <w:rFonts w:ascii="Calibri" w:cs="Calibri" w:hAnsi="Calibri" w:eastAsia="Calibri"/>
          <w:rtl w:val="0"/>
          <w:lang w:val="en-US"/>
        </w:rPr>
        <w:t>Category: Poster presentation</w:t>
      </w:r>
    </w:p>
    <w:sectPr>
      <w:headerReference w:type="default" r:id="rId4"/>
      <w:footerReference w:type="default" r:id="rId5"/>
      <w:pgSz w:w="11900" w:h="16840" w:orient="portrait"/>
      <w:pgMar w:top="1417" w:right="1701" w:bottom="1417"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uerpo">
    <w:name w:val="Cuerpo"/>
    <w:next w:val="Cue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inguno">
    <w:name w:val="Ninguno"/>
    <w:rPr>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Courier New" w:cs="Arial Unicode MS" w:hAnsi="Courier New"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s-ES_tradnl"/>
    </w:rPr>
  </w:style>
  <w:style w:type="paragraph" w:styleId="Por omisión A">
    <w:name w:val="Por omisión A"/>
    <w:next w:val="Por omisión A"/>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s-ES_tradn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s-ES_tradnl"/>
    </w:rPr>
  </w:style>
  <w:style w:type="numbering" w:styleId="Estilo importado 1">
    <w:name w:val="Estilo importado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