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140" w:rsidRPr="00C521C3" w:rsidRDefault="00784A1D" w:rsidP="00BF6140">
      <w:pPr>
        <w:autoSpaceDE w:val="0"/>
        <w:autoSpaceDN w:val="0"/>
        <w:adjustRightInd w:val="0"/>
        <w:spacing w:after="0" w:line="240" w:lineRule="auto"/>
        <w:rPr>
          <w:rFonts w:ascii="Times New Roman" w:hAnsi="Times New Roman" w:cs="Times New Roman"/>
          <w:color w:val="000000"/>
          <w:sz w:val="24"/>
          <w:szCs w:val="24"/>
        </w:rPr>
      </w:pPr>
      <w:r w:rsidRPr="00C521C3">
        <w:rPr>
          <w:rFonts w:asciiTheme="majorBidi" w:eastAsia="Times New Roman" w:hAnsiTheme="majorBidi" w:cstheme="majorBidi"/>
          <w:b/>
          <w:bCs/>
          <w:color w:val="000000" w:themeColor="text1"/>
          <w:kern w:val="36"/>
          <w:sz w:val="24"/>
          <w:szCs w:val="24"/>
        </w:rPr>
        <w:t>Nutritional recommendations for patients with non-alcoholic fatty liver diseases</w:t>
      </w:r>
      <w:r w:rsidR="00BF6140" w:rsidRPr="00C521C3">
        <w:rPr>
          <w:rFonts w:asciiTheme="majorBidi" w:eastAsia="Times New Roman" w:hAnsiTheme="majorBidi" w:cstheme="majorBidi"/>
          <w:b/>
          <w:bCs/>
          <w:color w:val="000000" w:themeColor="text1"/>
          <w:kern w:val="36"/>
          <w:sz w:val="24"/>
          <w:szCs w:val="24"/>
        </w:rPr>
        <w:br/>
      </w:r>
      <w:r w:rsidR="00BF6140" w:rsidRPr="00C521C3">
        <w:rPr>
          <w:rFonts w:asciiTheme="majorBidi" w:eastAsia="Times New Roman" w:hAnsiTheme="majorBidi" w:cstheme="majorBidi"/>
          <w:b/>
          <w:bCs/>
          <w:color w:val="000000" w:themeColor="text1"/>
          <w:kern w:val="36"/>
          <w:sz w:val="24"/>
          <w:szCs w:val="24"/>
        </w:rPr>
        <w:br/>
      </w:r>
      <w:r w:rsidR="00BF6140" w:rsidRPr="00C521C3">
        <w:rPr>
          <w:rFonts w:ascii="Times New Roman" w:hAnsi="Times New Roman" w:cs="Times New Roman"/>
          <w:b/>
          <w:bCs/>
          <w:color w:val="000000"/>
          <w:sz w:val="24"/>
          <w:szCs w:val="24"/>
        </w:rPr>
        <w:t>Nafiseh Bahadori birgani1</w:t>
      </w:r>
      <w:r w:rsidR="00BF6140" w:rsidRPr="00C521C3">
        <w:rPr>
          <w:rFonts w:ascii="Times New Roman" w:hAnsi="Times New Roman" w:cs="Times New Roman"/>
          <w:b/>
          <w:bCs/>
          <w:color w:val="000000"/>
          <w:sz w:val="24"/>
          <w:szCs w:val="24"/>
        </w:rPr>
        <w:br/>
      </w:r>
      <w:r w:rsidR="00BF6140" w:rsidRPr="00C521C3">
        <w:rPr>
          <w:rFonts w:ascii="Times New Roman" w:hAnsi="Times New Roman" w:cs="Times New Roman"/>
          <w:color w:val="000000"/>
          <w:sz w:val="24"/>
          <w:szCs w:val="24"/>
        </w:rPr>
        <w:t>1Department of National Nutrition And Food Technology Research, Shahid Beheshti University of</w:t>
      </w:r>
    </w:p>
    <w:p w:rsidR="00BF6140" w:rsidRPr="00C521C3" w:rsidRDefault="00BF6140" w:rsidP="00BF6140">
      <w:pPr>
        <w:autoSpaceDE w:val="0"/>
        <w:autoSpaceDN w:val="0"/>
        <w:adjustRightInd w:val="0"/>
        <w:spacing w:after="0" w:line="240" w:lineRule="auto"/>
        <w:rPr>
          <w:rFonts w:ascii="Times New Roman" w:hAnsi="Times New Roman" w:cs="Times New Roman"/>
          <w:color w:val="000000"/>
          <w:sz w:val="24"/>
          <w:szCs w:val="24"/>
        </w:rPr>
      </w:pPr>
      <w:r w:rsidRPr="00C521C3">
        <w:rPr>
          <w:rFonts w:ascii="Times New Roman" w:hAnsi="Times New Roman" w:cs="Times New Roman"/>
          <w:color w:val="000000"/>
          <w:sz w:val="24"/>
          <w:szCs w:val="24"/>
        </w:rPr>
        <w:t>Medical Sciences, Tehran, Iran</w:t>
      </w:r>
    </w:p>
    <w:p w:rsidR="00BF6140" w:rsidRPr="00C521C3" w:rsidRDefault="00BF6140" w:rsidP="00BF6140">
      <w:pPr>
        <w:autoSpaceDE w:val="0"/>
        <w:autoSpaceDN w:val="0"/>
        <w:adjustRightInd w:val="0"/>
        <w:spacing w:after="0" w:line="240" w:lineRule="auto"/>
        <w:rPr>
          <w:rFonts w:ascii="Times New Roman" w:hAnsi="Times New Roman" w:cs="Times New Roman"/>
          <w:color w:val="000000"/>
          <w:sz w:val="24"/>
          <w:szCs w:val="24"/>
        </w:rPr>
      </w:pPr>
      <w:r w:rsidRPr="00C521C3">
        <w:rPr>
          <w:rFonts w:ascii="Times New Roman" w:hAnsi="Times New Roman" w:cs="Times New Roman"/>
          <w:color w:val="212121"/>
          <w:sz w:val="24"/>
          <w:szCs w:val="24"/>
        </w:rPr>
        <w:t xml:space="preserve">*Corresponding Author : </w:t>
      </w:r>
      <w:r w:rsidRPr="00C521C3">
        <w:rPr>
          <w:rFonts w:ascii="Times New Roman" w:hAnsi="Times New Roman" w:cs="Times New Roman"/>
          <w:b/>
          <w:bCs/>
          <w:color w:val="000000"/>
          <w:sz w:val="24"/>
          <w:szCs w:val="24"/>
        </w:rPr>
        <w:t>Nafiseh Bahadori birgani</w:t>
      </w:r>
      <w:r w:rsidRPr="00C521C3">
        <w:rPr>
          <w:rFonts w:ascii="Times New Roman" w:hAnsi="Times New Roman" w:cs="Times New Roman"/>
          <w:color w:val="000000"/>
          <w:sz w:val="24"/>
          <w:szCs w:val="24"/>
        </w:rPr>
        <w:t xml:space="preserve"> : Department of National Nutrition And Food Technology Research, Shahid Beheshti University of Medical Sciences, Tehran, Iran E-mail :</w:t>
      </w:r>
      <w:r w:rsidRPr="00C521C3">
        <w:rPr>
          <w:rFonts w:ascii="Times New Roman" w:hAnsi="Times New Roman" w:cs="Times New Roman"/>
          <w:sz w:val="24"/>
          <w:szCs w:val="24"/>
        </w:rPr>
        <w:t xml:space="preserve"> </w:t>
      </w:r>
      <w:hyperlink r:id="rId7" w:history="1">
        <w:r w:rsidRPr="00C521C3">
          <w:rPr>
            <w:rStyle w:val="Hyperlink"/>
            <w:rFonts w:ascii="Times New Roman" w:hAnsi="Times New Roman" w:cs="Times New Roman"/>
            <w:color w:val="auto"/>
            <w:sz w:val="24"/>
            <w:szCs w:val="24"/>
            <w:u w:val="none"/>
          </w:rPr>
          <w:t>bahadorinafiseh@yahoo.com</w:t>
        </w:r>
      </w:hyperlink>
    </w:p>
    <w:p w:rsidR="00BF6140" w:rsidRPr="00C521C3" w:rsidRDefault="00BF6140" w:rsidP="00BF6140">
      <w:pPr>
        <w:autoSpaceDE w:val="0"/>
        <w:autoSpaceDN w:val="0"/>
        <w:adjustRightInd w:val="0"/>
        <w:spacing w:after="0" w:line="240" w:lineRule="auto"/>
        <w:rPr>
          <w:rFonts w:ascii="Times New Roman" w:hAnsi="Times New Roman" w:cs="Times New Roman"/>
          <w:color w:val="000000"/>
          <w:sz w:val="24"/>
          <w:szCs w:val="24"/>
        </w:rPr>
      </w:pPr>
    </w:p>
    <w:p w:rsidR="0021358C" w:rsidRPr="00C521C3" w:rsidRDefault="00BF6140" w:rsidP="00C521C3">
      <w:pPr>
        <w:pStyle w:val="NormalWeb"/>
        <w:rPr>
          <w:rFonts w:asciiTheme="majorBidi" w:hAnsiTheme="majorBidi" w:cstheme="majorBidi"/>
          <w:color w:val="000000" w:themeColor="text1"/>
        </w:rPr>
      </w:pPr>
      <w:r w:rsidRPr="00C521C3">
        <w:rPr>
          <w:b/>
          <w:bCs/>
          <w:color w:val="000000"/>
        </w:rPr>
        <w:t>Abstract</w:t>
      </w:r>
      <w:bookmarkStart w:id="0" w:name="_GoBack"/>
      <w:bookmarkEnd w:id="0"/>
      <w:r w:rsidRPr="00C521C3">
        <w:rPr>
          <w:b/>
          <w:bCs/>
          <w:color w:val="000000"/>
        </w:rPr>
        <w:br/>
      </w:r>
      <w:r w:rsidRPr="00C521C3">
        <w:rPr>
          <w:b/>
          <w:bCs/>
          <w:color w:val="000000"/>
        </w:rPr>
        <w:br/>
      </w:r>
      <w:r w:rsidRPr="00C521C3">
        <w:rPr>
          <w:rFonts w:asciiTheme="majorBidi" w:hAnsiTheme="majorBidi" w:cstheme="majorBidi"/>
          <w:color w:val="000000" w:themeColor="text1"/>
        </w:rPr>
        <w:t>Fatty liver is the most common liver disease worldwide. Hyperglycemia and hyperinsulinemia induce lipogenesis, thereby increasing the hepatic pool of fatty acids[</w:t>
      </w:r>
      <w:hyperlink r:id="rId8" w:anchor="B1" w:history="1">
        <w:r w:rsidRPr="00C521C3">
          <w:rPr>
            <w:rStyle w:val="Hyperlink"/>
            <w:rFonts w:asciiTheme="majorBidi" w:hAnsiTheme="majorBidi" w:cstheme="majorBidi"/>
            <w:color w:val="000000" w:themeColor="text1"/>
            <w:u w:val="none"/>
          </w:rPr>
          <w:t>1</w:t>
        </w:r>
      </w:hyperlink>
      <w:r w:rsidRPr="00C521C3">
        <w:rPr>
          <w:rFonts w:asciiTheme="majorBidi" w:hAnsiTheme="majorBidi" w:cstheme="majorBidi"/>
          <w:color w:val="000000" w:themeColor="text1"/>
        </w:rPr>
        <w:t>].</w:t>
      </w:r>
      <w:r w:rsidR="0033224E" w:rsidRPr="00C521C3">
        <w:rPr>
          <w:rFonts w:asciiTheme="majorBidi" w:hAnsiTheme="majorBidi" w:cstheme="majorBidi"/>
          <w:color w:val="000000" w:themeColor="text1"/>
        </w:rPr>
        <w:t xml:space="preserve"> </w:t>
      </w:r>
      <w:r w:rsidR="0033224E" w:rsidRPr="00C521C3">
        <w:rPr>
          <w:rFonts w:asciiTheme="majorBidi" w:hAnsiTheme="majorBidi" w:cstheme="majorBidi"/>
          <w:color w:val="000000" w:themeColor="text1"/>
        </w:rPr>
        <w:t>Nutritional consultations and lifestyle modification are important in the treatment of non-alcoholic fatty liver disease (NAFLD)</w:t>
      </w:r>
      <w:r w:rsidR="0021358C" w:rsidRPr="00C521C3">
        <w:rPr>
          <w:rFonts w:asciiTheme="majorBidi" w:hAnsiTheme="majorBidi" w:cstheme="majorBidi"/>
          <w:color w:val="000000" w:themeColor="text1"/>
        </w:rPr>
        <w:t xml:space="preserve"> </w:t>
      </w:r>
      <w:r w:rsidR="0021358C" w:rsidRPr="00C521C3">
        <w:rPr>
          <w:rFonts w:asciiTheme="majorBidi" w:hAnsiTheme="majorBidi" w:cstheme="majorBidi"/>
          <w:color w:val="000000" w:themeColor="text1"/>
        </w:rPr>
        <w:t>[</w:t>
      </w:r>
      <w:hyperlink r:id="rId9" w:anchor="B1" w:history="1">
        <w:r w:rsidR="0021358C" w:rsidRPr="00C521C3">
          <w:rPr>
            <w:rStyle w:val="Hyperlink"/>
            <w:rFonts w:asciiTheme="majorBidi" w:hAnsiTheme="majorBidi" w:cstheme="majorBidi"/>
            <w:color w:val="000000" w:themeColor="text1"/>
            <w:u w:val="none"/>
          </w:rPr>
          <w:t>2</w:t>
        </w:r>
      </w:hyperlink>
      <w:r w:rsidR="0021358C" w:rsidRPr="00C521C3">
        <w:rPr>
          <w:rFonts w:asciiTheme="majorBidi" w:hAnsiTheme="majorBidi" w:cstheme="majorBidi"/>
          <w:color w:val="000000" w:themeColor="text1"/>
        </w:rPr>
        <w:t>].</w:t>
      </w:r>
      <w:r w:rsidR="0021358C" w:rsidRPr="00C521C3">
        <w:rPr>
          <w:rFonts w:asciiTheme="majorBidi" w:hAnsiTheme="majorBidi" w:cstheme="majorBidi"/>
          <w:color w:val="000000" w:themeColor="text1"/>
        </w:rPr>
        <w:t xml:space="preserve"> </w:t>
      </w:r>
      <w:r w:rsidR="0021358C" w:rsidRPr="00C521C3">
        <w:rPr>
          <w:rFonts w:asciiTheme="majorBidi" w:hAnsiTheme="majorBidi" w:cstheme="majorBidi"/>
          <w:color w:val="000000" w:themeColor="text1"/>
        </w:rPr>
        <w:t xml:space="preserve">The usual management of NAFLD includes lifestyle counseling to achieve a gradual </w:t>
      </w:r>
      <w:hyperlink r:id="rId10" w:tooltip="Learn more about Body Weight Loss" w:history="1">
        <w:r w:rsidR="0021358C" w:rsidRPr="00C521C3">
          <w:rPr>
            <w:rStyle w:val="Hyperlink"/>
            <w:rFonts w:asciiTheme="majorBidi" w:hAnsiTheme="majorBidi" w:cstheme="majorBidi"/>
            <w:color w:val="000000" w:themeColor="text1"/>
            <w:u w:val="none"/>
          </w:rPr>
          <w:t>weight reduction</w:t>
        </w:r>
      </w:hyperlink>
      <w:r w:rsidR="0021358C" w:rsidRPr="00C521C3">
        <w:rPr>
          <w:rFonts w:asciiTheme="majorBidi" w:hAnsiTheme="majorBidi" w:cstheme="majorBidi"/>
          <w:color w:val="000000" w:themeColor="text1"/>
        </w:rPr>
        <w:t xml:space="preserve"> and an increase in physical activity. An intensive lifestyle intervention focused on diet, exercise and behavior modification with a goal of 7–10% weight reduction that leads to significant improvement in </w:t>
      </w:r>
      <w:hyperlink r:id="rId11" w:tooltip="Learn more about Liver Histology" w:history="1">
        <w:r w:rsidR="0021358C" w:rsidRPr="00C521C3">
          <w:rPr>
            <w:rStyle w:val="Hyperlink"/>
            <w:rFonts w:asciiTheme="majorBidi" w:hAnsiTheme="majorBidi" w:cstheme="majorBidi"/>
            <w:color w:val="000000" w:themeColor="text1"/>
            <w:u w:val="none"/>
          </w:rPr>
          <w:t>liver histology</w:t>
        </w:r>
      </w:hyperlink>
      <w:r w:rsidR="0021358C" w:rsidRPr="00C521C3">
        <w:rPr>
          <w:rFonts w:asciiTheme="majorBidi" w:hAnsiTheme="majorBidi" w:cstheme="majorBidi"/>
          <w:color w:val="000000" w:themeColor="text1"/>
        </w:rPr>
        <w:t xml:space="preserve"> in patients with NASH </w:t>
      </w:r>
      <w:hyperlink r:id="rId12" w:anchor="bb0105" w:history="1">
        <w:r w:rsidR="0021358C" w:rsidRPr="00C521C3">
          <w:rPr>
            <w:rStyle w:val="Hyperlink"/>
            <w:rFonts w:asciiTheme="majorBidi" w:hAnsiTheme="majorBidi" w:cstheme="majorBidi"/>
            <w:color w:val="000000" w:themeColor="text1"/>
            <w:u w:val="none"/>
          </w:rPr>
          <w:t>[19]</w:t>
        </w:r>
      </w:hyperlink>
      <w:r w:rsidR="0021358C" w:rsidRPr="00C521C3">
        <w:rPr>
          <w:rFonts w:asciiTheme="majorBidi" w:hAnsiTheme="majorBidi" w:cstheme="majorBidi"/>
          <w:color w:val="000000" w:themeColor="text1"/>
        </w:rPr>
        <w:t xml:space="preserve">. Indeed, weight loss improves </w:t>
      </w:r>
      <w:hyperlink r:id="rId13" w:tooltip="Learn more about Steatosis" w:history="1">
        <w:r w:rsidR="0021358C" w:rsidRPr="00C521C3">
          <w:rPr>
            <w:rStyle w:val="Hyperlink"/>
            <w:rFonts w:asciiTheme="majorBidi" w:hAnsiTheme="majorBidi" w:cstheme="majorBidi"/>
            <w:color w:val="000000" w:themeColor="text1"/>
            <w:u w:val="none"/>
          </w:rPr>
          <w:t>steatosis</w:t>
        </w:r>
      </w:hyperlink>
      <w:r w:rsidR="0021358C" w:rsidRPr="00C521C3">
        <w:rPr>
          <w:rFonts w:asciiTheme="majorBidi" w:hAnsiTheme="majorBidi" w:cstheme="majorBidi"/>
          <w:color w:val="000000" w:themeColor="text1"/>
        </w:rPr>
        <w:t xml:space="preserve"> </w:t>
      </w:r>
      <w:hyperlink r:id="rId14" w:anchor="bb0110" w:history="1">
        <w:r w:rsidR="0021358C" w:rsidRPr="00C521C3">
          <w:rPr>
            <w:rStyle w:val="Hyperlink"/>
            <w:rFonts w:asciiTheme="majorBidi" w:hAnsiTheme="majorBidi" w:cstheme="majorBidi"/>
            <w:color w:val="000000" w:themeColor="text1"/>
            <w:u w:val="none"/>
          </w:rPr>
          <w:t>[20]</w:t>
        </w:r>
      </w:hyperlink>
      <w:r w:rsidR="0021358C" w:rsidRPr="00C521C3">
        <w:rPr>
          <w:rFonts w:asciiTheme="majorBidi" w:hAnsiTheme="majorBidi" w:cstheme="majorBidi"/>
          <w:color w:val="000000" w:themeColor="text1"/>
        </w:rPr>
        <w:t xml:space="preserve">, reduces hepatic inflammation and </w:t>
      </w:r>
      <w:hyperlink r:id="rId15" w:tooltip="Learn more about Liver Cell Damage" w:history="1">
        <w:r w:rsidR="0021358C" w:rsidRPr="00C521C3">
          <w:rPr>
            <w:rStyle w:val="Hyperlink"/>
            <w:rFonts w:asciiTheme="majorBidi" w:hAnsiTheme="majorBidi" w:cstheme="majorBidi"/>
            <w:color w:val="000000" w:themeColor="text1"/>
            <w:u w:val="none"/>
          </w:rPr>
          <w:t>hepatocellular injury</w:t>
        </w:r>
      </w:hyperlink>
      <w:r w:rsidR="0021358C" w:rsidRPr="00C521C3">
        <w:rPr>
          <w:rFonts w:asciiTheme="majorBidi" w:hAnsiTheme="majorBidi" w:cstheme="majorBidi"/>
          <w:color w:val="000000" w:themeColor="text1"/>
        </w:rPr>
        <w:t xml:space="preserve"> </w:t>
      </w:r>
      <w:hyperlink r:id="rId16" w:anchor="bb0105" w:history="1">
        <w:r w:rsidR="0021358C" w:rsidRPr="00C521C3">
          <w:rPr>
            <w:rStyle w:val="Hyperlink"/>
            <w:rFonts w:asciiTheme="majorBidi" w:hAnsiTheme="majorBidi" w:cstheme="majorBidi"/>
            <w:color w:val="000000" w:themeColor="text1"/>
            <w:u w:val="none"/>
          </w:rPr>
          <w:t>[21]</w:t>
        </w:r>
      </w:hyperlink>
      <w:r w:rsidR="0021358C" w:rsidRPr="00C521C3">
        <w:rPr>
          <w:rFonts w:asciiTheme="majorBidi" w:hAnsiTheme="majorBidi" w:cstheme="majorBidi"/>
          <w:color w:val="000000" w:themeColor="text1"/>
        </w:rPr>
        <w:t xml:space="preserve">, </w:t>
      </w:r>
      <w:hyperlink r:id="rId17" w:anchor="bb0115" w:history="1">
        <w:r w:rsidR="0021358C" w:rsidRPr="00C521C3">
          <w:rPr>
            <w:rStyle w:val="Hyperlink"/>
            <w:rFonts w:asciiTheme="majorBidi" w:hAnsiTheme="majorBidi" w:cstheme="majorBidi"/>
            <w:color w:val="000000" w:themeColor="text1"/>
            <w:u w:val="none"/>
          </w:rPr>
          <w:t>[22]</w:t>
        </w:r>
      </w:hyperlink>
      <w:r w:rsidR="0021358C" w:rsidRPr="00C521C3">
        <w:rPr>
          <w:rFonts w:asciiTheme="majorBidi" w:hAnsiTheme="majorBidi" w:cstheme="majorBidi"/>
          <w:color w:val="000000" w:themeColor="text1"/>
        </w:rPr>
        <w:t xml:space="preserve"> and improves </w:t>
      </w:r>
      <w:hyperlink r:id="rId18" w:tooltip="Learn more about Cardiovascular Risk" w:history="1">
        <w:r w:rsidR="0021358C" w:rsidRPr="00C521C3">
          <w:rPr>
            <w:rStyle w:val="Hyperlink"/>
            <w:rFonts w:asciiTheme="majorBidi" w:hAnsiTheme="majorBidi" w:cstheme="majorBidi"/>
            <w:color w:val="000000" w:themeColor="text1"/>
            <w:u w:val="none"/>
          </w:rPr>
          <w:t>cardiovascular risk</w:t>
        </w:r>
      </w:hyperlink>
      <w:r w:rsidR="0021358C" w:rsidRPr="00C521C3">
        <w:rPr>
          <w:rFonts w:asciiTheme="majorBidi" w:hAnsiTheme="majorBidi" w:cstheme="majorBidi"/>
          <w:color w:val="000000" w:themeColor="text1"/>
        </w:rPr>
        <w:t xml:space="preserve"> profile. </w:t>
      </w:r>
      <w:hyperlink r:id="rId19" w:anchor="bb0120" w:history="1">
        <w:r w:rsidR="0021358C" w:rsidRPr="00C521C3">
          <w:rPr>
            <w:rStyle w:val="Hyperlink"/>
            <w:rFonts w:asciiTheme="majorBidi" w:hAnsiTheme="majorBidi" w:cstheme="majorBidi"/>
            <w:color w:val="000000" w:themeColor="text1"/>
            <w:u w:val="none"/>
          </w:rPr>
          <w:t>[23]</w:t>
        </w:r>
      </w:hyperlink>
      <w:r w:rsidR="0021358C" w:rsidRPr="00C521C3">
        <w:rPr>
          <w:rFonts w:asciiTheme="majorBidi" w:hAnsiTheme="majorBidi" w:cstheme="majorBidi"/>
          <w:color w:val="000000" w:themeColor="text1"/>
        </w:rPr>
        <w:t>. Several changes in dietary intake have occurred in the past few years, including increased energy intake (24%), and increases in added sugars, flour and cereal products, fruit, added fats and total fat intake[</w:t>
      </w:r>
      <w:hyperlink r:id="rId20" w:anchor="B8" w:history="1">
        <w:r w:rsidR="0021358C" w:rsidRPr="00C521C3">
          <w:rPr>
            <w:rStyle w:val="Hyperlink"/>
            <w:rFonts w:asciiTheme="majorBidi" w:hAnsiTheme="majorBidi" w:cstheme="majorBidi"/>
            <w:color w:val="000000" w:themeColor="text1"/>
            <w:u w:val="none"/>
          </w:rPr>
          <w:t>42</w:t>
        </w:r>
      </w:hyperlink>
      <w:r w:rsidR="0021358C" w:rsidRPr="00C521C3">
        <w:rPr>
          <w:rFonts w:asciiTheme="majorBidi" w:hAnsiTheme="majorBidi" w:cstheme="majorBidi"/>
          <w:color w:val="000000" w:themeColor="text1"/>
        </w:rPr>
        <w:t>]. Fatty liver disease in humans is an insulin-resistant condition and the liver over-produces glucose and triglycerides due to impaired insulin action[</w:t>
      </w:r>
      <w:hyperlink r:id="rId21" w:anchor="B2" w:history="1">
        <w:r w:rsidR="0021358C" w:rsidRPr="00C521C3">
          <w:rPr>
            <w:rStyle w:val="Hyperlink"/>
            <w:rFonts w:asciiTheme="majorBidi" w:hAnsiTheme="majorBidi" w:cstheme="majorBidi"/>
            <w:color w:val="000000" w:themeColor="text1"/>
            <w:u w:val="none"/>
          </w:rPr>
          <w:t>45</w:t>
        </w:r>
      </w:hyperlink>
      <w:r w:rsidR="0021358C" w:rsidRPr="00C521C3">
        <w:rPr>
          <w:rFonts w:asciiTheme="majorBidi" w:hAnsiTheme="majorBidi" w:cstheme="majorBidi"/>
          <w:color w:val="000000" w:themeColor="text1"/>
        </w:rPr>
        <w:t>]. Fatty liver is an independent predictor of diabetes and cardiovascular disease[</w:t>
      </w:r>
      <w:hyperlink r:id="rId22" w:anchor="B3" w:history="1">
        <w:r w:rsidR="0021358C" w:rsidRPr="00C521C3">
          <w:rPr>
            <w:rStyle w:val="Hyperlink"/>
            <w:rFonts w:asciiTheme="majorBidi" w:hAnsiTheme="majorBidi" w:cstheme="majorBidi"/>
            <w:color w:val="000000" w:themeColor="text1"/>
            <w:u w:val="none"/>
          </w:rPr>
          <w:t>46</w:t>
        </w:r>
      </w:hyperlink>
      <w:r w:rsidR="0021358C" w:rsidRPr="00C521C3">
        <w:rPr>
          <w:rFonts w:asciiTheme="majorBidi" w:hAnsiTheme="majorBidi" w:cstheme="majorBidi"/>
          <w:color w:val="000000" w:themeColor="text1"/>
        </w:rPr>
        <w:t xml:space="preserve">]. There are three major sources for increased liver fat accumulation: excessive delivery of free fatty acids from lipolysis of superficial and visceral fat depots (60%), increased </w:t>
      </w:r>
      <w:r w:rsidR="0021358C" w:rsidRPr="00C521C3">
        <w:rPr>
          <w:rStyle w:val="Emphasis"/>
          <w:rFonts w:asciiTheme="majorBidi" w:hAnsiTheme="majorBidi" w:cstheme="majorBidi"/>
          <w:color w:val="000000" w:themeColor="text1"/>
        </w:rPr>
        <w:t>de novo</w:t>
      </w:r>
      <w:r w:rsidR="0021358C" w:rsidRPr="00C521C3">
        <w:rPr>
          <w:rFonts w:asciiTheme="majorBidi" w:hAnsiTheme="majorBidi" w:cstheme="majorBidi"/>
          <w:color w:val="000000" w:themeColor="text1"/>
        </w:rPr>
        <w:t xml:space="preserve"> hepatic lipogenesis (30%), and increased nutritional intake (10%)[</w:t>
      </w:r>
      <w:hyperlink r:id="rId23" w:anchor="B4" w:history="1">
        <w:r w:rsidR="0021358C" w:rsidRPr="00C521C3">
          <w:rPr>
            <w:rStyle w:val="Hyperlink"/>
            <w:rFonts w:asciiTheme="majorBidi" w:hAnsiTheme="majorBidi" w:cstheme="majorBidi"/>
            <w:color w:val="000000" w:themeColor="text1"/>
            <w:u w:val="none"/>
          </w:rPr>
          <w:t>47</w:t>
        </w:r>
      </w:hyperlink>
      <w:r w:rsidR="0021358C" w:rsidRPr="00C521C3">
        <w:rPr>
          <w:rFonts w:asciiTheme="majorBidi" w:hAnsiTheme="majorBidi" w:cstheme="majorBidi"/>
          <w:color w:val="000000" w:themeColor="text1"/>
        </w:rPr>
        <w:t xml:space="preserve">]. </w:t>
      </w:r>
      <w:r w:rsidR="00C521C3" w:rsidRPr="00C521C3">
        <w:rPr>
          <w:rFonts w:asciiTheme="majorBidi" w:hAnsiTheme="majorBidi" w:cstheme="majorBidi"/>
          <w:color w:val="000000" w:themeColor="text1"/>
        </w:rPr>
        <w:br/>
      </w:r>
    </w:p>
    <w:p w:rsidR="00C521C3" w:rsidRPr="00C521C3" w:rsidRDefault="00C521C3" w:rsidP="00C521C3">
      <w:pPr>
        <w:spacing w:after="0" w:line="240" w:lineRule="auto"/>
        <w:rPr>
          <w:rFonts w:asciiTheme="majorBidi" w:eastAsia="Times New Roman" w:hAnsiTheme="majorBidi" w:cstheme="majorBidi"/>
          <w:color w:val="000000" w:themeColor="text1"/>
          <w:sz w:val="24"/>
          <w:szCs w:val="24"/>
        </w:rPr>
      </w:pPr>
      <w:r w:rsidRPr="00C521C3">
        <w:rPr>
          <w:rFonts w:asciiTheme="majorBidi" w:eastAsia="Times New Roman" w:hAnsiTheme="majorBidi" w:cstheme="majorBidi"/>
          <w:b/>
          <w:bCs/>
          <w:color w:val="000000" w:themeColor="text1"/>
          <w:sz w:val="24"/>
          <w:szCs w:val="24"/>
        </w:rPr>
        <w:t xml:space="preserve">Keywords: </w:t>
      </w:r>
      <w:r w:rsidRPr="00C521C3">
        <w:rPr>
          <w:rFonts w:asciiTheme="majorBidi" w:eastAsia="Times New Roman" w:hAnsiTheme="majorBidi" w:cstheme="majorBidi"/>
          <w:color w:val="000000" w:themeColor="text1"/>
          <w:sz w:val="24"/>
          <w:szCs w:val="24"/>
        </w:rPr>
        <w:t>Weight reduction</w:t>
      </w:r>
      <w:r w:rsidRPr="00C521C3">
        <w:rPr>
          <w:rFonts w:cs="Traditional Arabic"/>
          <w:sz w:val="24"/>
          <w:szCs w:val="24"/>
        </w:rPr>
        <w:t>,</w:t>
      </w:r>
      <w:r w:rsidRPr="00C521C3">
        <w:rPr>
          <w:rFonts w:asciiTheme="majorBidi" w:eastAsia="Times New Roman" w:hAnsiTheme="majorBidi" w:cstheme="majorBidi"/>
          <w:color w:val="000000" w:themeColor="text1"/>
          <w:sz w:val="24"/>
          <w:szCs w:val="24"/>
        </w:rPr>
        <w:t xml:space="preserve"> </w:t>
      </w:r>
      <w:r w:rsidRPr="00C521C3">
        <w:rPr>
          <w:rFonts w:asciiTheme="majorBidi" w:eastAsia="Times New Roman" w:hAnsiTheme="majorBidi" w:cstheme="majorBidi"/>
          <w:color w:val="000000" w:themeColor="text1"/>
          <w:sz w:val="24"/>
          <w:szCs w:val="24"/>
        </w:rPr>
        <w:t>Non-alcoholic fatty liver disease, Physical activity, Nutrition, Fat</w:t>
      </w:r>
    </w:p>
    <w:p w:rsidR="0021358C" w:rsidRPr="00C521C3" w:rsidRDefault="00C521C3" w:rsidP="00C521C3">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br/>
      </w:r>
    </w:p>
    <w:p w:rsidR="00C521C3" w:rsidRPr="00C521C3" w:rsidRDefault="00C521C3" w:rsidP="00C521C3">
      <w:pPr>
        <w:pStyle w:val="NormalWeb"/>
        <w:rPr>
          <w:rFonts w:asciiTheme="majorBidi" w:hAnsiTheme="majorBidi" w:cstheme="majorBidi"/>
          <w:color w:val="000000" w:themeColor="text1"/>
        </w:rPr>
      </w:pPr>
    </w:p>
    <w:p w:rsidR="00C521C3" w:rsidRPr="00C521C3" w:rsidRDefault="00C521C3" w:rsidP="00C521C3">
      <w:pPr>
        <w:pStyle w:val="NormalWeb"/>
        <w:rPr>
          <w:rFonts w:asciiTheme="majorBidi" w:hAnsiTheme="majorBidi" w:cstheme="majorBidi"/>
          <w:color w:val="000000" w:themeColor="text1"/>
        </w:rPr>
      </w:pPr>
    </w:p>
    <w:p w:rsidR="00C521C3" w:rsidRPr="00C521C3" w:rsidRDefault="00C521C3" w:rsidP="00C521C3">
      <w:pPr>
        <w:pStyle w:val="NormalWeb"/>
        <w:rPr>
          <w:rFonts w:asciiTheme="majorBidi" w:hAnsiTheme="majorBidi" w:cstheme="majorBidi"/>
          <w:color w:val="000000" w:themeColor="text1"/>
        </w:rPr>
      </w:pPr>
    </w:p>
    <w:p w:rsidR="00C521C3" w:rsidRPr="00C521C3" w:rsidRDefault="00C521C3" w:rsidP="00C521C3">
      <w:pPr>
        <w:pStyle w:val="NormalWeb"/>
        <w:rPr>
          <w:rFonts w:asciiTheme="majorBidi" w:hAnsiTheme="majorBidi" w:cstheme="majorBidi"/>
          <w:color w:val="000000" w:themeColor="text1"/>
        </w:rPr>
      </w:pPr>
    </w:p>
    <w:p w:rsidR="00C521C3" w:rsidRPr="00C521C3" w:rsidRDefault="00C521C3" w:rsidP="00C521C3">
      <w:pPr>
        <w:pStyle w:val="NormalWeb"/>
        <w:rPr>
          <w:rFonts w:asciiTheme="majorBidi" w:hAnsiTheme="majorBidi" w:cstheme="majorBidi"/>
          <w:color w:val="000000" w:themeColor="text1"/>
        </w:rPr>
      </w:pPr>
    </w:p>
    <w:p w:rsidR="00297252" w:rsidRPr="00C521C3" w:rsidRDefault="00C521C3" w:rsidP="00C521C3">
      <w:pPr>
        <w:spacing w:line="232" w:lineRule="auto"/>
        <w:rPr>
          <w:rFonts w:cs="Nazanin"/>
          <w:b/>
          <w:bCs/>
          <w:lang w:bidi="fa-IR"/>
        </w:rPr>
      </w:pPr>
      <w:r w:rsidRPr="00C521C3">
        <w:rPr>
          <w:rFonts w:asciiTheme="majorBidi" w:eastAsia="Times New Roman" w:hAnsiTheme="majorBidi" w:cstheme="majorBidi"/>
          <w:b/>
          <w:bCs/>
          <w:color w:val="000000" w:themeColor="text1"/>
          <w:kern w:val="36"/>
          <w:sz w:val="24"/>
          <w:szCs w:val="24"/>
        </w:rPr>
        <w:br/>
      </w:r>
      <w:r w:rsidRPr="00C521C3">
        <w:rPr>
          <w:rFonts w:cs="Nazanin"/>
          <w:b/>
          <w:bCs/>
          <w:lang w:bidi="fa-IR"/>
        </w:rPr>
        <w:t>Introduction</w:t>
      </w:r>
      <w:r w:rsidR="00784A1D" w:rsidRPr="00C521C3">
        <w:rPr>
          <w:rFonts w:asciiTheme="majorBidi" w:hAnsiTheme="majorBidi" w:cstheme="majorBidi"/>
          <w:color w:val="000000" w:themeColor="text1"/>
          <w:sz w:val="24"/>
          <w:szCs w:val="24"/>
        </w:rPr>
        <w:br/>
      </w:r>
      <w:r w:rsidR="00455C2C" w:rsidRPr="00C521C3">
        <w:rPr>
          <w:rFonts w:asciiTheme="majorBidi" w:hAnsiTheme="majorBidi" w:cstheme="majorBidi"/>
          <w:color w:val="000000" w:themeColor="text1"/>
          <w:sz w:val="24"/>
          <w:szCs w:val="24"/>
        </w:rPr>
        <w:lastRenderedPageBreak/>
        <w:br/>
        <w:t>Fatty liver is the most common liver disease worldwide. Patients with fatty liver disease die primarily from cardiovascular disease and not from chronic liver diseases. Hyperglycemia and hyperinsulinemia induce lipogenesis, thereby increasing the hepatic pool of fatty acids. This pool is also increased by increased delivery of fatty acids through the diet or lipolysis in adipose tissue. Nutritional consultations and lifestyle modification are important in the treatment of non-alcoholic fatty liver disease (NAFLD). Among the dietary constituents, combination of vitamin D, vitamin E, and omega-3 fatty acids shows promise for the treatment of NAFLD. Fatty liver is the most common cause of liver diseases in adults and children[</w:t>
      </w:r>
      <w:hyperlink r:id="rId24" w:anchor="B1" w:history="1">
        <w:r w:rsidR="00455C2C" w:rsidRPr="00C521C3">
          <w:rPr>
            <w:rStyle w:val="Hyperlink"/>
            <w:rFonts w:asciiTheme="majorBidi" w:hAnsiTheme="majorBidi" w:cstheme="majorBidi"/>
            <w:color w:val="000000" w:themeColor="text1"/>
            <w:sz w:val="24"/>
            <w:szCs w:val="24"/>
            <w:u w:val="none"/>
          </w:rPr>
          <w:t>1</w:t>
        </w:r>
      </w:hyperlink>
      <w:r w:rsidR="00723DDB" w:rsidRPr="00C521C3">
        <w:rPr>
          <w:rFonts w:asciiTheme="majorBidi" w:hAnsiTheme="majorBidi" w:cstheme="majorBidi"/>
          <w:color w:val="000000" w:themeColor="text1"/>
          <w:sz w:val="24"/>
          <w:szCs w:val="24"/>
        </w:rPr>
        <w:t>,</w:t>
      </w:r>
      <w:r w:rsidR="00E608E4" w:rsidRPr="00C521C3">
        <w:rPr>
          <w:rFonts w:asciiTheme="majorBidi" w:hAnsiTheme="majorBidi" w:cstheme="majorBidi"/>
          <w:color w:val="000000" w:themeColor="text1"/>
          <w:sz w:val="24"/>
          <w:szCs w:val="24"/>
        </w:rPr>
        <w:t>18</w:t>
      </w:r>
      <w:r w:rsidR="00455C2C" w:rsidRPr="00C521C3">
        <w:rPr>
          <w:rFonts w:asciiTheme="majorBidi" w:hAnsiTheme="majorBidi" w:cstheme="majorBidi"/>
          <w:color w:val="000000" w:themeColor="text1"/>
          <w:sz w:val="24"/>
          <w:szCs w:val="24"/>
        </w:rPr>
        <w:t>].</w:t>
      </w:r>
      <w:r w:rsidR="00784A1D" w:rsidRPr="00C521C3">
        <w:rPr>
          <w:rFonts w:asciiTheme="majorBidi" w:hAnsiTheme="majorBidi" w:cstheme="majorBidi"/>
          <w:color w:val="000000" w:themeColor="text1"/>
          <w:sz w:val="24"/>
          <w:szCs w:val="24"/>
        </w:rPr>
        <w:br/>
      </w:r>
      <w:r w:rsidR="00784A1D" w:rsidRPr="00C521C3">
        <w:rPr>
          <w:rFonts w:asciiTheme="majorBidi" w:hAnsiTheme="majorBidi" w:cstheme="majorBidi"/>
          <w:color w:val="000000" w:themeColor="text1"/>
          <w:sz w:val="24"/>
          <w:szCs w:val="24"/>
        </w:rPr>
        <w:br/>
      </w:r>
      <w:r w:rsidR="00A328CF" w:rsidRPr="00C521C3">
        <w:rPr>
          <w:rFonts w:asciiTheme="majorBidi" w:hAnsiTheme="majorBidi" w:cstheme="majorBidi"/>
          <w:color w:val="000000" w:themeColor="text1"/>
          <w:sz w:val="24"/>
          <w:szCs w:val="24"/>
        </w:rPr>
        <w:t xml:space="preserve">Non-alcoholic fatty liver disease (NAFLD) is the most common cause of liver disease </w:t>
      </w:r>
      <w:r w:rsidR="00784A1D" w:rsidRPr="00C521C3">
        <w:rPr>
          <w:rFonts w:asciiTheme="majorBidi" w:hAnsiTheme="majorBidi" w:cstheme="majorBidi"/>
          <w:color w:val="000000" w:themeColor="text1"/>
          <w:sz w:val="24"/>
          <w:szCs w:val="24"/>
        </w:rPr>
        <w:br/>
      </w:r>
      <w:r w:rsidR="00A328CF" w:rsidRPr="00C521C3">
        <w:rPr>
          <w:rFonts w:asciiTheme="majorBidi" w:hAnsiTheme="majorBidi" w:cstheme="majorBidi"/>
          <w:color w:val="000000" w:themeColor="text1"/>
          <w:sz w:val="24"/>
          <w:szCs w:val="24"/>
        </w:rPr>
        <w:t>worldwide, with a prevalence of 20%-40% in Western populations</w:t>
      </w:r>
      <w:r w:rsidR="00C539B0" w:rsidRPr="00C521C3">
        <w:rPr>
          <w:rFonts w:asciiTheme="majorBidi" w:hAnsiTheme="majorBidi" w:cstheme="majorBidi"/>
          <w:color w:val="000000" w:themeColor="text1"/>
          <w:sz w:val="24"/>
          <w:szCs w:val="24"/>
        </w:rPr>
        <w:t>[</w:t>
      </w:r>
      <w:hyperlink r:id="rId25" w:anchor="R1" w:history="1">
        <w:r w:rsidR="00C539B0" w:rsidRPr="00C521C3">
          <w:rPr>
            <w:rStyle w:val="Hyperlink"/>
            <w:rFonts w:asciiTheme="majorBidi" w:hAnsiTheme="majorBidi" w:cstheme="majorBidi"/>
            <w:color w:val="000000" w:themeColor="text1"/>
            <w:sz w:val="24"/>
            <w:szCs w:val="24"/>
            <w:u w:val="none"/>
          </w:rPr>
          <w:t>1</w:t>
        </w:r>
      </w:hyperlink>
      <w:r w:rsidR="00C539B0" w:rsidRPr="00C521C3">
        <w:rPr>
          <w:rFonts w:asciiTheme="majorBidi" w:hAnsiTheme="majorBidi" w:cstheme="majorBidi"/>
          <w:color w:val="000000" w:themeColor="text1"/>
          <w:sz w:val="24"/>
          <w:szCs w:val="24"/>
        </w:rPr>
        <w:t>]. Non-alcoholic fatty liver (NAFL) is a part of the spectrum of liver disease called non-alcoholic fatty liver disease (NAFLD) [</w:t>
      </w:r>
      <w:hyperlink r:id="rId26" w:anchor="R1" w:history="1">
        <w:r w:rsidR="00C539B0" w:rsidRPr="00C521C3">
          <w:rPr>
            <w:rStyle w:val="Hyperlink"/>
            <w:rFonts w:asciiTheme="majorBidi" w:hAnsiTheme="majorBidi" w:cstheme="majorBidi"/>
            <w:color w:val="000000" w:themeColor="text1"/>
            <w:sz w:val="24"/>
            <w:szCs w:val="24"/>
            <w:u w:val="none"/>
          </w:rPr>
          <w:t>1</w:t>
        </w:r>
      </w:hyperlink>
      <w:r w:rsidR="00C539B0" w:rsidRPr="00C521C3">
        <w:rPr>
          <w:rFonts w:asciiTheme="majorBidi" w:hAnsiTheme="majorBidi" w:cstheme="majorBidi"/>
          <w:color w:val="000000" w:themeColor="text1"/>
          <w:sz w:val="24"/>
          <w:szCs w:val="24"/>
        </w:rPr>
        <w:t>]. The NAFLD includes steatohepatitis (NASH), fibrosis, cirrhosis and hepatocarcinoma (HCC). NAFLD is the most common cause of liver disease worldwide, with a prevalence of 20%-40% in Western populations [</w:t>
      </w:r>
      <w:hyperlink r:id="rId27" w:anchor="R1" w:history="1">
        <w:r w:rsidR="00C539B0" w:rsidRPr="00C521C3">
          <w:rPr>
            <w:rStyle w:val="Hyperlink"/>
            <w:rFonts w:asciiTheme="majorBidi" w:hAnsiTheme="majorBidi" w:cstheme="majorBidi"/>
            <w:color w:val="000000" w:themeColor="text1"/>
            <w:sz w:val="24"/>
            <w:szCs w:val="24"/>
            <w:u w:val="none"/>
          </w:rPr>
          <w:t>1</w:t>
        </w:r>
      </w:hyperlink>
      <w:r w:rsidR="00C539B0" w:rsidRPr="00C521C3">
        <w:rPr>
          <w:rFonts w:asciiTheme="majorBidi" w:hAnsiTheme="majorBidi" w:cstheme="majorBidi"/>
          <w:color w:val="000000" w:themeColor="text1"/>
          <w:sz w:val="24"/>
          <w:szCs w:val="24"/>
        </w:rPr>
        <w:t>]. In Europe, the prevalence of NAFLD varies between 20-30% [</w:t>
      </w:r>
      <w:hyperlink r:id="rId28" w:anchor="R2" w:history="1">
        <w:r w:rsidR="00C539B0" w:rsidRPr="00C521C3">
          <w:rPr>
            <w:rStyle w:val="Hyperlink"/>
            <w:rFonts w:asciiTheme="majorBidi" w:hAnsiTheme="majorBidi" w:cstheme="majorBidi"/>
            <w:color w:val="000000" w:themeColor="text1"/>
            <w:sz w:val="24"/>
            <w:szCs w:val="24"/>
            <w:u w:val="none"/>
          </w:rPr>
          <w:t>2</w:t>
        </w:r>
      </w:hyperlink>
      <w:r w:rsidR="00C539B0" w:rsidRPr="00C521C3">
        <w:rPr>
          <w:rFonts w:asciiTheme="majorBidi" w:hAnsiTheme="majorBidi" w:cstheme="majorBidi"/>
          <w:color w:val="000000" w:themeColor="text1"/>
          <w:sz w:val="24"/>
          <w:szCs w:val="24"/>
        </w:rPr>
        <w:t>]. The prevalence increases to 58% in overweight individuals and can be as high as 98% in non-diabetic obese individuals [</w:t>
      </w:r>
      <w:hyperlink r:id="rId29" w:anchor="R3" w:history="1">
        <w:r w:rsidR="00C539B0" w:rsidRPr="00C521C3">
          <w:rPr>
            <w:rStyle w:val="Hyperlink"/>
            <w:rFonts w:asciiTheme="majorBidi" w:hAnsiTheme="majorBidi" w:cstheme="majorBidi"/>
            <w:color w:val="000000" w:themeColor="text1"/>
            <w:sz w:val="24"/>
            <w:szCs w:val="24"/>
            <w:u w:val="none"/>
          </w:rPr>
          <w:t>3</w:t>
        </w:r>
      </w:hyperlink>
      <w:r w:rsidR="00C539B0" w:rsidRPr="00C521C3">
        <w:rPr>
          <w:rFonts w:asciiTheme="majorBidi" w:hAnsiTheme="majorBidi" w:cstheme="majorBidi"/>
          <w:color w:val="000000" w:themeColor="text1"/>
          <w:sz w:val="24"/>
          <w:szCs w:val="24"/>
        </w:rPr>
        <w:t xml:space="preserve">]. </w:t>
      </w:r>
      <w:r w:rsidR="002A73EB" w:rsidRPr="00C521C3">
        <w:rPr>
          <w:rFonts w:asciiTheme="majorBidi" w:hAnsiTheme="majorBidi" w:cstheme="majorBidi"/>
          <w:color w:val="000000" w:themeColor="text1"/>
          <w:sz w:val="24"/>
          <w:szCs w:val="24"/>
        </w:rPr>
        <w:t>In healthy individuals, energy requirements represent the number of calories that a person needs to achieve certain weight goals - meaning to lose, or maintain weight. Nutrition guidelines for population with NAFLD recommended a hypocaloric diet based on individual needs to promote weight loss [</w:t>
      </w:r>
      <w:hyperlink r:id="rId30" w:anchor="R4" w:history="1">
        <w:r w:rsidR="002A73EB" w:rsidRPr="00C521C3">
          <w:rPr>
            <w:rStyle w:val="Hyperlink"/>
            <w:rFonts w:asciiTheme="majorBidi" w:hAnsiTheme="majorBidi" w:cstheme="majorBidi"/>
            <w:color w:val="000000" w:themeColor="text1"/>
            <w:sz w:val="24"/>
            <w:szCs w:val="24"/>
            <w:u w:val="none"/>
          </w:rPr>
          <w:t>4</w:t>
        </w:r>
      </w:hyperlink>
      <w:r w:rsidR="002A73EB" w:rsidRPr="00C521C3">
        <w:rPr>
          <w:rFonts w:asciiTheme="majorBidi" w:hAnsiTheme="majorBidi" w:cstheme="majorBidi"/>
          <w:color w:val="000000" w:themeColor="text1"/>
          <w:sz w:val="24"/>
          <w:szCs w:val="24"/>
        </w:rPr>
        <w:t>] in a professional review, McCarthy and Rinella recommended 1200-1500 kcal/ day [</w:t>
      </w:r>
      <w:hyperlink r:id="rId31" w:anchor="R5" w:history="1">
        <w:r w:rsidR="002A73EB" w:rsidRPr="00C521C3">
          <w:rPr>
            <w:rStyle w:val="Hyperlink"/>
            <w:rFonts w:asciiTheme="majorBidi" w:hAnsiTheme="majorBidi" w:cstheme="majorBidi"/>
            <w:color w:val="000000" w:themeColor="text1"/>
            <w:sz w:val="24"/>
            <w:szCs w:val="24"/>
            <w:u w:val="none"/>
          </w:rPr>
          <w:t>5</w:t>
        </w:r>
      </w:hyperlink>
      <w:r w:rsidR="002A73EB" w:rsidRPr="00C521C3">
        <w:rPr>
          <w:rFonts w:asciiTheme="majorBidi" w:hAnsiTheme="majorBidi" w:cstheme="majorBidi"/>
          <w:color w:val="000000" w:themeColor="text1"/>
          <w:sz w:val="24"/>
          <w:szCs w:val="24"/>
        </w:rPr>
        <w:t>]. If liver disease progresses to cirrhosis, the calorie requirements increase even more to prevent undesired weight loss and malnutrition[</w:t>
      </w:r>
      <w:hyperlink r:id="rId32" w:anchor="R5" w:history="1">
        <w:r w:rsidR="002A73EB" w:rsidRPr="00C521C3">
          <w:rPr>
            <w:rStyle w:val="Hyperlink"/>
            <w:rFonts w:asciiTheme="majorBidi" w:hAnsiTheme="majorBidi" w:cstheme="majorBidi"/>
            <w:color w:val="000000" w:themeColor="text1"/>
            <w:sz w:val="24"/>
            <w:szCs w:val="24"/>
            <w:u w:val="none"/>
          </w:rPr>
          <w:t>5</w:t>
        </w:r>
      </w:hyperlink>
      <w:r w:rsidR="002A73EB" w:rsidRPr="00C521C3">
        <w:rPr>
          <w:rFonts w:asciiTheme="majorBidi" w:hAnsiTheme="majorBidi" w:cstheme="majorBidi"/>
          <w:color w:val="000000" w:themeColor="text1"/>
          <w:sz w:val="24"/>
          <w:szCs w:val="24"/>
        </w:rPr>
        <w:t>].</w:t>
      </w:r>
      <w:r w:rsidR="00A328CF" w:rsidRPr="00C521C3">
        <w:rPr>
          <w:rFonts w:asciiTheme="majorBidi" w:hAnsiTheme="majorBidi" w:cstheme="majorBidi"/>
          <w:color w:val="000000" w:themeColor="text1"/>
          <w:sz w:val="24"/>
          <w:szCs w:val="24"/>
        </w:rPr>
        <w:br/>
      </w:r>
      <w:r w:rsidR="00A328CF" w:rsidRPr="00C521C3">
        <w:rPr>
          <w:rFonts w:asciiTheme="majorBidi" w:hAnsiTheme="majorBidi" w:cstheme="majorBidi"/>
          <w:color w:val="000000" w:themeColor="text1"/>
          <w:sz w:val="24"/>
          <w:szCs w:val="24"/>
        </w:rPr>
        <w:br/>
      </w:r>
      <w:r w:rsidR="00297252" w:rsidRPr="00C521C3">
        <w:rPr>
          <w:rFonts w:asciiTheme="majorBidi" w:hAnsiTheme="majorBidi" w:cstheme="majorBidi"/>
          <w:color w:val="000000" w:themeColor="text1"/>
          <w:sz w:val="24"/>
          <w:szCs w:val="24"/>
        </w:rPr>
        <w:br/>
      </w:r>
      <w:r w:rsidR="00297252" w:rsidRPr="00C521C3">
        <w:rPr>
          <w:rStyle w:val="Strong"/>
          <w:rFonts w:asciiTheme="majorBidi" w:hAnsiTheme="majorBidi" w:cstheme="majorBidi"/>
          <w:color w:val="000000" w:themeColor="text1"/>
          <w:sz w:val="24"/>
          <w:szCs w:val="24"/>
        </w:rPr>
        <w:t>Energy requirements</w:t>
      </w:r>
      <w:r w:rsidR="00297252" w:rsidRPr="00C521C3">
        <w:rPr>
          <w:rFonts w:asciiTheme="majorBidi" w:hAnsiTheme="majorBidi" w:cstheme="majorBidi"/>
          <w:color w:val="000000" w:themeColor="text1"/>
          <w:sz w:val="24"/>
          <w:szCs w:val="24"/>
        </w:rPr>
        <w:br/>
      </w:r>
      <w:r w:rsidR="00297252" w:rsidRPr="00C521C3">
        <w:rPr>
          <w:rFonts w:asciiTheme="majorBidi" w:hAnsiTheme="majorBidi" w:cstheme="majorBidi"/>
          <w:color w:val="000000" w:themeColor="text1"/>
          <w:sz w:val="24"/>
          <w:szCs w:val="24"/>
        </w:rPr>
        <w:br/>
        <w:t>Energy requirements for patients with NAFLD are: 25 to 30 kcal/ kg, based on dry weight or an adjusted ideal weight, or add 20% to 40% to basal energy expenditure (BEE) by using the Harris-Benedict equation [</w:t>
      </w:r>
      <w:hyperlink r:id="rId33" w:anchor="R6" w:history="1">
        <w:r w:rsidR="00297252" w:rsidRPr="00C521C3">
          <w:rPr>
            <w:rStyle w:val="Hyperlink"/>
            <w:rFonts w:asciiTheme="majorBidi" w:hAnsiTheme="majorBidi" w:cstheme="majorBidi"/>
            <w:color w:val="000000" w:themeColor="text1"/>
            <w:sz w:val="24"/>
            <w:szCs w:val="24"/>
            <w:u w:val="none"/>
          </w:rPr>
          <w:t>6</w:t>
        </w:r>
      </w:hyperlink>
      <w:r w:rsidR="00297252" w:rsidRPr="00C521C3">
        <w:rPr>
          <w:rFonts w:asciiTheme="majorBidi" w:hAnsiTheme="majorBidi" w:cstheme="majorBidi"/>
          <w:color w:val="000000" w:themeColor="text1"/>
          <w:sz w:val="24"/>
          <w:szCs w:val="24"/>
        </w:rPr>
        <w:t>-</w:t>
      </w:r>
      <w:hyperlink r:id="rId34" w:anchor="R8" w:history="1">
        <w:r w:rsidR="00297252" w:rsidRPr="00C521C3">
          <w:rPr>
            <w:rStyle w:val="Hyperlink"/>
            <w:rFonts w:asciiTheme="majorBidi" w:hAnsiTheme="majorBidi" w:cstheme="majorBidi"/>
            <w:color w:val="000000" w:themeColor="text1"/>
            <w:sz w:val="24"/>
            <w:szCs w:val="24"/>
            <w:u w:val="none"/>
          </w:rPr>
          <w:t>8</w:t>
        </w:r>
      </w:hyperlink>
      <w:r w:rsidR="00297252" w:rsidRPr="00C521C3">
        <w:rPr>
          <w:rFonts w:asciiTheme="majorBidi" w:hAnsiTheme="majorBidi" w:cstheme="majorBidi"/>
          <w:color w:val="000000" w:themeColor="text1"/>
          <w:sz w:val="24"/>
          <w:szCs w:val="24"/>
        </w:rPr>
        <w:t>]. Energy deficit between 500 and 1000 kcal per day will lead to weight loss of 0.5–1 kg per week [</w:t>
      </w:r>
      <w:hyperlink r:id="rId35" w:anchor="R9" w:history="1">
        <w:r w:rsidR="00297252" w:rsidRPr="00C521C3">
          <w:rPr>
            <w:rStyle w:val="Hyperlink"/>
            <w:rFonts w:asciiTheme="majorBidi" w:hAnsiTheme="majorBidi" w:cstheme="majorBidi"/>
            <w:color w:val="000000" w:themeColor="text1"/>
            <w:sz w:val="24"/>
            <w:szCs w:val="24"/>
            <w:u w:val="none"/>
          </w:rPr>
          <w:t>9</w:t>
        </w:r>
      </w:hyperlink>
      <w:r w:rsidR="00297252" w:rsidRPr="00C521C3">
        <w:rPr>
          <w:rFonts w:asciiTheme="majorBidi" w:hAnsiTheme="majorBidi" w:cstheme="majorBidi"/>
          <w:color w:val="000000" w:themeColor="text1"/>
          <w:sz w:val="24"/>
          <w:szCs w:val="24"/>
        </w:rPr>
        <w:t>,</w:t>
      </w:r>
      <w:hyperlink r:id="rId36" w:anchor="R10" w:history="1">
        <w:r w:rsidR="00297252" w:rsidRPr="00C521C3">
          <w:rPr>
            <w:rStyle w:val="Hyperlink"/>
            <w:rFonts w:asciiTheme="majorBidi" w:hAnsiTheme="majorBidi" w:cstheme="majorBidi"/>
            <w:color w:val="000000" w:themeColor="text1"/>
            <w:sz w:val="24"/>
            <w:szCs w:val="24"/>
            <w:u w:val="none"/>
          </w:rPr>
          <w:t>10</w:t>
        </w:r>
      </w:hyperlink>
      <w:r w:rsidR="00297252" w:rsidRPr="00C521C3">
        <w:rPr>
          <w:rFonts w:asciiTheme="majorBidi" w:hAnsiTheme="majorBidi" w:cstheme="majorBidi"/>
          <w:color w:val="000000" w:themeColor="text1"/>
          <w:sz w:val="24"/>
          <w:szCs w:val="24"/>
        </w:rPr>
        <w:t>] but it should not exceed 1 kg per week. Rapid and uncontrolled weight loss can be detrimental for patients and may even worsen clinical symptoms of NAFLD [</w:t>
      </w:r>
      <w:hyperlink r:id="rId37" w:anchor="R11" w:history="1">
        <w:r w:rsidR="00297252" w:rsidRPr="00C521C3">
          <w:rPr>
            <w:rStyle w:val="Hyperlink"/>
            <w:rFonts w:asciiTheme="majorBidi" w:hAnsiTheme="majorBidi" w:cstheme="majorBidi"/>
            <w:color w:val="000000" w:themeColor="text1"/>
            <w:sz w:val="24"/>
            <w:szCs w:val="24"/>
            <w:u w:val="none"/>
          </w:rPr>
          <w:t>11</w:t>
        </w:r>
      </w:hyperlink>
      <w:r w:rsidR="00B468FE" w:rsidRPr="00C521C3">
        <w:rPr>
          <w:rStyle w:val="Hyperlink"/>
          <w:rFonts w:asciiTheme="majorBidi" w:hAnsiTheme="majorBidi" w:cstheme="majorBidi"/>
          <w:color w:val="000000" w:themeColor="text1"/>
          <w:sz w:val="24"/>
          <w:szCs w:val="24"/>
          <w:u w:val="none"/>
        </w:rPr>
        <w:t>,7</w:t>
      </w:r>
      <w:r w:rsidR="002A73EB" w:rsidRPr="00C521C3">
        <w:rPr>
          <w:rFonts w:asciiTheme="majorBidi" w:hAnsiTheme="majorBidi" w:cstheme="majorBidi"/>
          <w:color w:val="000000" w:themeColor="text1"/>
          <w:sz w:val="24"/>
          <w:szCs w:val="24"/>
        </w:rPr>
        <w:t>].</w:t>
      </w:r>
      <w:r w:rsidR="002A73EB" w:rsidRPr="00C521C3">
        <w:rPr>
          <w:rFonts w:asciiTheme="majorBidi" w:hAnsiTheme="majorBidi" w:cstheme="majorBidi"/>
          <w:color w:val="000000" w:themeColor="text1"/>
          <w:sz w:val="24"/>
          <w:szCs w:val="24"/>
        </w:rPr>
        <w:br/>
      </w:r>
      <w:r w:rsidR="002A73EB" w:rsidRPr="00C521C3">
        <w:rPr>
          <w:rFonts w:asciiTheme="majorBidi" w:hAnsiTheme="majorBidi" w:cstheme="majorBidi"/>
          <w:color w:val="000000" w:themeColor="text1"/>
          <w:sz w:val="24"/>
          <w:szCs w:val="24"/>
        </w:rPr>
        <w:br/>
      </w:r>
      <w:r w:rsidR="002A73EB" w:rsidRPr="00C521C3">
        <w:rPr>
          <w:rFonts w:asciiTheme="majorBidi" w:hAnsiTheme="majorBidi" w:cstheme="majorBidi"/>
          <w:color w:val="000000" w:themeColor="text1"/>
          <w:sz w:val="24"/>
          <w:szCs w:val="24"/>
        </w:rPr>
        <w:br/>
      </w:r>
      <w:r w:rsidR="00297252" w:rsidRPr="00C521C3">
        <w:rPr>
          <w:rFonts w:asciiTheme="majorBidi" w:hAnsiTheme="majorBidi" w:cstheme="majorBidi"/>
          <w:color w:val="000000" w:themeColor="text1"/>
          <w:sz w:val="24"/>
          <w:szCs w:val="24"/>
        </w:rPr>
        <w:br/>
      </w:r>
      <w:r w:rsidR="00297252" w:rsidRPr="00C521C3">
        <w:rPr>
          <w:rStyle w:val="Strong"/>
          <w:rFonts w:asciiTheme="majorBidi" w:hAnsiTheme="majorBidi" w:cstheme="majorBidi"/>
          <w:color w:val="000000" w:themeColor="text1"/>
          <w:sz w:val="24"/>
          <w:szCs w:val="24"/>
        </w:rPr>
        <w:t>Carbohydrates</w:t>
      </w:r>
    </w:p>
    <w:p w:rsidR="00297252" w:rsidRPr="00C521C3" w:rsidRDefault="00297252" w:rsidP="00C521C3">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AMDR for carbohydrates in adults ranges between 45-65% of total number of calories [</w:t>
      </w:r>
      <w:r w:rsidR="00B468FE" w:rsidRPr="00C521C3">
        <w:rPr>
          <w:rFonts w:asciiTheme="majorBidi" w:hAnsiTheme="majorBidi" w:cstheme="majorBidi"/>
          <w:color w:val="000000" w:themeColor="text1"/>
        </w:rPr>
        <w:t>11</w:t>
      </w:r>
      <w:r w:rsidR="00C521C3">
        <w:rPr>
          <w:rFonts w:asciiTheme="majorBidi" w:hAnsiTheme="majorBidi" w:cstheme="majorBidi"/>
          <w:color w:val="000000" w:themeColor="text1"/>
        </w:rPr>
        <w:t>,</w:t>
      </w:r>
      <w:hyperlink r:id="rId38" w:anchor="R19" w:history="1">
        <w:r w:rsidRPr="00C521C3">
          <w:rPr>
            <w:rStyle w:val="Hyperlink"/>
            <w:rFonts w:asciiTheme="majorBidi" w:hAnsiTheme="majorBidi" w:cstheme="majorBidi"/>
            <w:color w:val="000000" w:themeColor="text1"/>
            <w:u w:val="none"/>
          </w:rPr>
          <w:t>1</w:t>
        </w:r>
        <w:r w:rsidR="000B57AA" w:rsidRPr="00C521C3">
          <w:rPr>
            <w:rStyle w:val="Hyperlink"/>
            <w:rFonts w:asciiTheme="majorBidi" w:hAnsiTheme="majorBidi" w:cstheme="majorBidi"/>
            <w:color w:val="000000" w:themeColor="text1"/>
            <w:u w:val="none"/>
          </w:rPr>
          <w:t>2</w:t>
        </w:r>
      </w:hyperlink>
      <w:r w:rsidRPr="00C521C3">
        <w:rPr>
          <w:rFonts w:asciiTheme="majorBidi" w:hAnsiTheme="majorBidi" w:cstheme="majorBidi"/>
          <w:color w:val="000000" w:themeColor="text1"/>
        </w:rPr>
        <w:t>]. The best carbohydrate sources are fruits, vegetables, whole grains, legumes and low-glycemic index foods [</w:t>
      </w:r>
      <w:hyperlink r:id="rId39" w:anchor="R19" w:history="1">
        <w:r w:rsidRPr="00C521C3">
          <w:rPr>
            <w:rStyle w:val="Hyperlink"/>
            <w:rFonts w:asciiTheme="majorBidi" w:hAnsiTheme="majorBidi" w:cstheme="majorBidi"/>
            <w:color w:val="000000" w:themeColor="text1"/>
            <w:u w:val="none"/>
          </w:rPr>
          <w:t>1</w:t>
        </w:r>
        <w:r w:rsidR="000B57AA" w:rsidRPr="00C521C3">
          <w:rPr>
            <w:rStyle w:val="Hyperlink"/>
            <w:rFonts w:asciiTheme="majorBidi" w:hAnsiTheme="majorBidi" w:cstheme="majorBidi"/>
            <w:color w:val="000000" w:themeColor="text1"/>
            <w:u w:val="none"/>
          </w:rPr>
          <w:t>2</w:t>
        </w:r>
      </w:hyperlink>
      <w:r w:rsidRPr="00C521C3">
        <w:rPr>
          <w:rFonts w:asciiTheme="majorBidi" w:hAnsiTheme="majorBidi" w:cstheme="majorBidi"/>
          <w:color w:val="000000" w:themeColor="text1"/>
        </w:rPr>
        <w:t>].</w:t>
      </w:r>
      <w:r w:rsidR="002A73EB" w:rsidRPr="00C521C3">
        <w:rPr>
          <w:rFonts w:asciiTheme="majorBidi" w:hAnsiTheme="majorBidi" w:cstheme="majorBidi"/>
          <w:color w:val="000000" w:themeColor="text1"/>
        </w:rPr>
        <w:t xml:space="preserve"> Data from literature reports that a diet high in carbohydrates might worsen the clinical conditions of patients with NAFLD [</w:t>
      </w:r>
      <w:hyperlink r:id="rId40" w:anchor="R6" w:history="1">
        <w:r w:rsidR="002A73EB" w:rsidRPr="00C521C3">
          <w:rPr>
            <w:rStyle w:val="Hyperlink"/>
            <w:rFonts w:asciiTheme="majorBidi" w:hAnsiTheme="majorBidi" w:cstheme="majorBidi"/>
            <w:color w:val="000000" w:themeColor="text1"/>
            <w:u w:val="none"/>
          </w:rPr>
          <w:t>6</w:t>
        </w:r>
      </w:hyperlink>
      <w:r w:rsidR="002A73EB" w:rsidRPr="00C521C3">
        <w:rPr>
          <w:rFonts w:asciiTheme="majorBidi" w:hAnsiTheme="majorBidi" w:cstheme="majorBidi"/>
          <w:color w:val="000000" w:themeColor="text1"/>
        </w:rPr>
        <w:t>].</w:t>
      </w:r>
      <w:r w:rsidR="002A73EB" w:rsidRPr="00C521C3">
        <w:rPr>
          <w:rFonts w:asciiTheme="majorBidi" w:hAnsiTheme="majorBidi" w:cstheme="majorBidi"/>
          <w:color w:val="000000" w:themeColor="text1"/>
        </w:rPr>
        <w:br/>
      </w:r>
    </w:p>
    <w:p w:rsidR="00511533" w:rsidRPr="00C521C3" w:rsidRDefault="00511533" w:rsidP="00511533">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br/>
      </w:r>
      <w:r w:rsidRPr="00C521C3">
        <w:rPr>
          <w:rStyle w:val="Strong"/>
          <w:rFonts w:asciiTheme="majorBidi" w:hAnsiTheme="majorBidi" w:cstheme="majorBidi"/>
          <w:color w:val="000000" w:themeColor="text1"/>
        </w:rPr>
        <w:t>Fiber</w:t>
      </w:r>
    </w:p>
    <w:p w:rsidR="00511533" w:rsidRPr="00C521C3" w:rsidRDefault="00511533" w:rsidP="004813E9">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Requirements for general population are set at 38 g/ day for men and 25 g/ day for women aged 19 to 50 years [</w:t>
      </w:r>
      <w:hyperlink r:id="rId41" w:anchor="R30" w:history="1">
        <w:r w:rsidR="004813E9" w:rsidRPr="00C521C3">
          <w:rPr>
            <w:rStyle w:val="Hyperlink"/>
            <w:rFonts w:asciiTheme="majorBidi" w:hAnsiTheme="majorBidi" w:cstheme="majorBidi"/>
            <w:color w:val="000000" w:themeColor="text1"/>
            <w:u w:val="none"/>
          </w:rPr>
          <w:t>13</w:t>
        </w:r>
      </w:hyperlink>
      <w:r w:rsidRPr="00C521C3">
        <w:rPr>
          <w:rFonts w:asciiTheme="majorBidi" w:hAnsiTheme="majorBidi" w:cstheme="majorBidi"/>
          <w:color w:val="000000" w:themeColor="text1"/>
        </w:rPr>
        <w:t xml:space="preserve">]. In many countries, this now includes the recommendation to eat at </w:t>
      </w:r>
      <w:r w:rsidRPr="00C521C3">
        <w:rPr>
          <w:rFonts w:asciiTheme="majorBidi" w:hAnsiTheme="majorBidi" w:cstheme="majorBidi"/>
          <w:color w:val="000000" w:themeColor="text1"/>
        </w:rPr>
        <w:lastRenderedPageBreak/>
        <w:t>least half of all grain servings as whole grains, with gram recommendations ranging from at least 48 g/ d to at least 75 g/ 2000 kcal [</w:t>
      </w:r>
      <w:hyperlink r:id="rId42" w:anchor="R31" w:history="1">
        <w:r w:rsidR="004813E9" w:rsidRPr="00C521C3">
          <w:rPr>
            <w:rStyle w:val="Hyperlink"/>
            <w:rFonts w:asciiTheme="majorBidi" w:hAnsiTheme="majorBidi" w:cstheme="majorBidi"/>
            <w:color w:val="000000" w:themeColor="text1"/>
            <w:u w:val="none"/>
          </w:rPr>
          <w:t>14</w:t>
        </w:r>
      </w:hyperlink>
      <w:r w:rsidRPr="00C521C3">
        <w:rPr>
          <w:rFonts w:asciiTheme="majorBidi" w:hAnsiTheme="majorBidi" w:cstheme="majorBidi"/>
          <w:color w:val="000000" w:themeColor="text1"/>
        </w:rPr>
        <w:t>].</w:t>
      </w:r>
    </w:p>
    <w:p w:rsidR="00511533" w:rsidRPr="00C521C3" w:rsidRDefault="00511533" w:rsidP="00511533">
      <w:pPr>
        <w:pStyle w:val="NormalWeb"/>
        <w:rPr>
          <w:rFonts w:asciiTheme="majorBidi" w:hAnsiTheme="majorBidi" w:cstheme="majorBidi"/>
          <w:color w:val="000000" w:themeColor="text1"/>
        </w:rPr>
      </w:pPr>
      <w:r w:rsidRPr="00C521C3">
        <w:rPr>
          <w:rStyle w:val="Strong"/>
          <w:rFonts w:asciiTheme="majorBidi" w:hAnsiTheme="majorBidi" w:cstheme="majorBidi"/>
          <w:color w:val="000000" w:themeColor="text1"/>
        </w:rPr>
        <w:t>Lipids</w:t>
      </w:r>
    </w:p>
    <w:p w:rsidR="00511533" w:rsidRPr="00C521C3" w:rsidRDefault="00511533" w:rsidP="004813E9">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AMDR for lipids is 20% to 35% of the total energy intake for adults [</w:t>
      </w:r>
      <w:hyperlink r:id="rId43" w:anchor="R19" w:history="1">
        <w:r w:rsidRPr="00C521C3">
          <w:rPr>
            <w:rStyle w:val="Hyperlink"/>
            <w:rFonts w:asciiTheme="majorBidi" w:hAnsiTheme="majorBidi" w:cstheme="majorBidi"/>
            <w:color w:val="000000" w:themeColor="text1"/>
            <w:u w:val="none"/>
          </w:rPr>
          <w:t>1</w:t>
        </w:r>
        <w:r w:rsidR="004813E9" w:rsidRPr="00C521C3">
          <w:rPr>
            <w:rStyle w:val="Hyperlink"/>
            <w:rFonts w:asciiTheme="majorBidi" w:hAnsiTheme="majorBidi" w:cstheme="majorBidi"/>
            <w:color w:val="000000" w:themeColor="text1"/>
            <w:u w:val="none"/>
          </w:rPr>
          <w:t>5</w:t>
        </w:r>
      </w:hyperlink>
      <w:r w:rsidRPr="00C521C3">
        <w:rPr>
          <w:rFonts w:asciiTheme="majorBidi" w:hAnsiTheme="majorBidi" w:cstheme="majorBidi"/>
          <w:color w:val="000000" w:themeColor="text1"/>
        </w:rPr>
        <w:t>]. For n-6 PUFAs, the AMDR is 5% to 10% of energy, which is expected to meet the adequate intake (AI) for linolenic acid (17 g/ day for young men and 12 g/ day for young women). The AMDR for alpha linolenic acid is 0.6% to 1.2% of energy, with up to 10% of the AMDR consumed as eicosapentaenoic acid (EPA) and/ or docosahexaenoic acid (DHA); the AI is 1.6 g/ day for men and 1.1 g/ day for women. The DHA and EPA deficiency can contribute to the development of NAFLD, which was confirmed by an experimental study on animals [</w:t>
      </w:r>
      <w:hyperlink r:id="rId44" w:anchor="R19" w:history="1">
        <w:r w:rsidRPr="00C521C3">
          <w:rPr>
            <w:rStyle w:val="Hyperlink"/>
            <w:rFonts w:asciiTheme="majorBidi" w:hAnsiTheme="majorBidi" w:cstheme="majorBidi"/>
            <w:color w:val="000000" w:themeColor="text1"/>
            <w:u w:val="none"/>
          </w:rPr>
          <w:t>1</w:t>
        </w:r>
        <w:r w:rsidR="004813E9" w:rsidRPr="00C521C3">
          <w:rPr>
            <w:rStyle w:val="Hyperlink"/>
            <w:rFonts w:asciiTheme="majorBidi" w:hAnsiTheme="majorBidi" w:cstheme="majorBidi"/>
            <w:color w:val="000000" w:themeColor="text1"/>
            <w:u w:val="none"/>
          </w:rPr>
          <w:t>5</w:t>
        </w:r>
      </w:hyperlink>
      <w:r w:rsidRPr="00C521C3">
        <w:rPr>
          <w:rFonts w:asciiTheme="majorBidi" w:hAnsiTheme="majorBidi" w:cstheme="majorBidi"/>
          <w:color w:val="000000" w:themeColor="text1"/>
        </w:rPr>
        <w:t>].</w:t>
      </w:r>
    </w:p>
    <w:p w:rsidR="0048206A" w:rsidRPr="00C521C3" w:rsidRDefault="0048206A" w:rsidP="0048206A">
      <w:pPr>
        <w:pStyle w:val="NormalWeb"/>
        <w:rPr>
          <w:rFonts w:asciiTheme="majorBidi" w:hAnsiTheme="majorBidi" w:cstheme="majorBidi"/>
          <w:color w:val="000000" w:themeColor="text1"/>
        </w:rPr>
      </w:pPr>
      <w:r w:rsidRPr="00C521C3">
        <w:rPr>
          <w:rStyle w:val="Strong"/>
          <w:rFonts w:asciiTheme="majorBidi" w:hAnsiTheme="majorBidi" w:cstheme="majorBidi"/>
          <w:color w:val="000000" w:themeColor="text1"/>
        </w:rPr>
        <w:t>Protein</w:t>
      </w:r>
    </w:p>
    <w:p w:rsidR="0048206A" w:rsidRPr="00C521C3" w:rsidRDefault="0048206A" w:rsidP="004813E9">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Protein intake must be adjusted for body weight and medical condition. According to the most recent data, normal protein intake in adults is around 16–17% of energy intake [</w:t>
      </w:r>
      <w:hyperlink r:id="rId45" w:anchor="R43" w:history="1">
        <w:r w:rsidR="004813E9" w:rsidRPr="00C521C3">
          <w:rPr>
            <w:rStyle w:val="Hyperlink"/>
            <w:rFonts w:asciiTheme="majorBidi" w:hAnsiTheme="majorBidi" w:cstheme="majorBidi"/>
            <w:color w:val="000000" w:themeColor="text1"/>
            <w:u w:val="none"/>
          </w:rPr>
          <w:t>16</w:t>
        </w:r>
      </w:hyperlink>
      <w:r w:rsidRPr="00C521C3">
        <w:rPr>
          <w:rFonts w:asciiTheme="majorBidi" w:hAnsiTheme="majorBidi" w:cstheme="majorBidi"/>
          <w:color w:val="000000" w:themeColor="text1"/>
        </w:rPr>
        <w:t>]. The requirement of protein in hepatitis is estimated minimally at 1.0 to 1.2 g/kg/day and may range up to 1.5 g/ kg if patients have cirrhosis.</w:t>
      </w:r>
    </w:p>
    <w:p w:rsidR="0048206A" w:rsidRPr="00C521C3" w:rsidRDefault="0048206A" w:rsidP="00E608E4">
      <w:pPr>
        <w:pStyle w:val="p"/>
        <w:rPr>
          <w:rFonts w:asciiTheme="majorBidi" w:hAnsiTheme="majorBidi" w:cstheme="majorBidi"/>
          <w:color w:val="000000" w:themeColor="text1"/>
        </w:rPr>
      </w:pPr>
      <w:r w:rsidRPr="00C521C3">
        <w:rPr>
          <w:rFonts w:asciiTheme="majorBidi" w:hAnsiTheme="majorBidi" w:cstheme="majorBidi"/>
          <w:color w:val="000000" w:themeColor="text1"/>
        </w:rPr>
        <w:t>The AASLD Guidelines [</w:t>
      </w:r>
      <w:hyperlink r:id="rId46" w:anchor="R44" w:history="1">
        <w:r w:rsidR="004813E9" w:rsidRPr="00C521C3">
          <w:rPr>
            <w:rStyle w:val="Hyperlink"/>
            <w:rFonts w:asciiTheme="majorBidi" w:hAnsiTheme="majorBidi" w:cstheme="majorBidi"/>
            <w:color w:val="000000" w:themeColor="text1"/>
            <w:u w:val="none"/>
          </w:rPr>
          <w:t>17</w:t>
        </w:r>
      </w:hyperlink>
      <w:r w:rsidRPr="00C521C3">
        <w:rPr>
          <w:rFonts w:asciiTheme="majorBidi" w:hAnsiTheme="majorBidi" w:cstheme="majorBidi"/>
          <w:color w:val="000000" w:themeColor="text1"/>
        </w:rPr>
        <w:t>] do not specifically address protein intake, and recommends a protein intake similar to the general population, based on the recommended dietary allowances (RDA) and dietary reference intake (DRI)</w:t>
      </w:r>
      <w:r w:rsidR="002A73EB" w:rsidRPr="00C521C3">
        <w:rPr>
          <w:rFonts w:asciiTheme="majorBidi" w:hAnsiTheme="majorBidi" w:cstheme="majorBidi"/>
          <w:color w:val="000000" w:themeColor="text1"/>
        </w:rPr>
        <w:t xml:space="preserve"> [</w:t>
      </w:r>
      <w:hyperlink r:id="rId47" w:anchor="R43" w:history="1">
        <w:r w:rsidR="004813E9" w:rsidRPr="00C521C3">
          <w:rPr>
            <w:rStyle w:val="Hyperlink"/>
            <w:rFonts w:asciiTheme="majorBidi" w:hAnsiTheme="majorBidi" w:cstheme="majorBidi"/>
            <w:color w:val="000000" w:themeColor="text1"/>
            <w:u w:val="none"/>
          </w:rPr>
          <w:t>16</w:t>
        </w:r>
      </w:hyperlink>
      <w:r w:rsidR="002A73EB" w:rsidRPr="00C521C3">
        <w:rPr>
          <w:rFonts w:asciiTheme="majorBidi" w:hAnsiTheme="majorBidi" w:cstheme="majorBidi"/>
          <w:color w:val="000000" w:themeColor="text1"/>
        </w:rPr>
        <w:t>].</w:t>
      </w:r>
      <w:r w:rsidR="00FA38DD" w:rsidRPr="00C521C3">
        <w:rPr>
          <w:rFonts w:asciiTheme="majorBidi" w:hAnsiTheme="majorBidi" w:cstheme="majorBidi"/>
          <w:color w:val="000000" w:themeColor="text1"/>
        </w:rPr>
        <w:br/>
      </w:r>
      <w:r w:rsidR="00FA38DD" w:rsidRPr="00C521C3">
        <w:rPr>
          <w:rFonts w:asciiTheme="majorBidi" w:hAnsiTheme="majorBidi" w:cstheme="majorBidi"/>
          <w:color w:val="000000" w:themeColor="text1"/>
        </w:rPr>
        <w:br/>
      </w:r>
      <w:r w:rsidR="00FA38DD" w:rsidRPr="00C521C3">
        <w:rPr>
          <w:rFonts w:asciiTheme="majorBidi" w:hAnsiTheme="majorBidi" w:cstheme="majorBidi"/>
          <w:color w:val="000000" w:themeColor="text1"/>
        </w:rPr>
        <w:br/>
        <w:t xml:space="preserve">There is no consensus as to what diet or lifestyle approach is the best for NAFLD patients. However, patients with NAFLD may benefit from a moderate- to low-carbohydrate (40%–45% of total calories) diet, coupled with increased dietary MUFA and </w:t>
      </w:r>
      <w:r w:rsidR="00FA38DD" w:rsidRPr="00C521C3">
        <w:rPr>
          <w:rStyle w:val="Emphasis"/>
          <w:rFonts w:asciiTheme="majorBidi" w:hAnsiTheme="majorBidi" w:cstheme="majorBidi"/>
          <w:color w:val="000000" w:themeColor="text1"/>
        </w:rPr>
        <w:t>n-3</w:t>
      </w:r>
      <w:r w:rsidR="00FA38DD" w:rsidRPr="00C521C3">
        <w:rPr>
          <w:rFonts w:asciiTheme="majorBidi" w:hAnsiTheme="majorBidi" w:cstheme="majorBidi"/>
          <w:color w:val="000000" w:themeColor="text1"/>
        </w:rPr>
        <w:t xml:space="preserve"> PUFAs, reduced SFAs. More CRT are needed to clarify the specific effects of different diets and dietary components on the health of NAFLD patients</w:t>
      </w:r>
      <w:r w:rsidR="002A73EB" w:rsidRPr="00C521C3">
        <w:rPr>
          <w:rFonts w:asciiTheme="majorBidi" w:hAnsiTheme="majorBidi" w:cstheme="majorBidi"/>
          <w:color w:val="000000" w:themeColor="text1"/>
        </w:rPr>
        <w:t>[</w:t>
      </w:r>
      <w:hyperlink r:id="rId48" w:anchor="R44" w:history="1">
        <w:r w:rsidR="00E608E4" w:rsidRPr="00C521C3">
          <w:rPr>
            <w:rStyle w:val="Hyperlink"/>
            <w:rFonts w:asciiTheme="majorBidi" w:hAnsiTheme="majorBidi" w:cstheme="majorBidi"/>
            <w:color w:val="000000" w:themeColor="text1"/>
            <w:u w:val="none"/>
          </w:rPr>
          <w:t>17</w:t>
        </w:r>
      </w:hyperlink>
      <w:r w:rsidR="002A73EB" w:rsidRPr="00C521C3">
        <w:rPr>
          <w:rFonts w:asciiTheme="majorBidi" w:hAnsiTheme="majorBidi" w:cstheme="majorBidi"/>
          <w:color w:val="000000" w:themeColor="text1"/>
        </w:rPr>
        <w:t>].</w:t>
      </w:r>
    </w:p>
    <w:p w:rsidR="00297252" w:rsidRPr="00C521C3" w:rsidRDefault="00297252" w:rsidP="00297252">
      <w:pPr>
        <w:pStyle w:val="NormalWeb"/>
        <w:rPr>
          <w:rFonts w:asciiTheme="majorBidi" w:hAnsiTheme="majorBidi" w:cstheme="majorBidi"/>
          <w:color w:val="000000" w:themeColor="text1"/>
        </w:rPr>
      </w:pPr>
    </w:p>
    <w:p w:rsidR="00B468FE" w:rsidRPr="00C521C3" w:rsidRDefault="00297252" w:rsidP="00B468FE">
      <w:pPr>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br/>
      </w:r>
      <w:r w:rsidRPr="00C521C3">
        <w:rPr>
          <w:rFonts w:asciiTheme="majorBidi" w:hAnsiTheme="majorBidi" w:cstheme="majorBidi"/>
          <w:color w:val="000000" w:themeColor="text1"/>
          <w:sz w:val="24"/>
          <w:szCs w:val="24"/>
        </w:rPr>
        <w:br/>
      </w:r>
      <w:r w:rsidR="00A328CF" w:rsidRPr="00C521C3">
        <w:rPr>
          <w:rFonts w:asciiTheme="majorBidi" w:hAnsiTheme="majorBidi" w:cstheme="majorBidi"/>
          <w:color w:val="000000" w:themeColor="text1"/>
          <w:sz w:val="24"/>
          <w:szCs w:val="24"/>
        </w:rPr>
        <w:br/>
      </w:r>
    </w:p>
    <w:p w:rsidR="00297252" w:rsidRPr="00C521C3" w:rsidRDefault="004813E9" w:rsidP="00B468FE">
      <w:pPr>
        <w:spacing w:after="0" w:line="240" w:lineRule="auto"/>
        <w:rPr>
          <w:rFonts w:asciiTheme="majorBidi" w:eastAsia="Times New Roman" w:hAnsiTheme="majorBidi" w:cstheme="majorBidi"/>
          <w:b/>
          <w:bCs/>
          <w:color w:val="000000" w:themeColor="text1"/>
          <w:sz w:val="24"/>
          <w:szCs w:val="24"/>
        </w:rPr>
      </w:pPr>
      <w:r w:rsidRPr="00C521C3">
        <w:rPr>
          <w:rFonts w:asciiTheme="majorBidi" w:eastAsia="Times New Roman" w:hAnsiTheme="majorBidi" w:cstheme="majorBidi"/>
          <w:color w:val="000000" w:themeColor="text1"/>
          <w:sz w:val="24"/>
          <w:szCs w:val="24"/>
        </w:rPr>
        <w:br/>
      </w:r>
      <w:r w:rsidRPr="00C521C3">
        <w:rPr>
          <w:rFonts w:asciiTheme="majorBidi" w:eastAsia="Times New Roman" w:hAnsiTheme="majorBidi" w:cstheme="majorBidi"/>
          <w:color w:val="000000" w:themeColor="text1"/>
          <w:sz w:val="24"/>
          <w:szCs w:val="24"/>
        </w:rPr>
        <w:br/>
      </w:r>
      <w:r w:rsidRPr="00C521C3">
        <w:rPr>
          <w:rFonts w:asciiTheme="majorBidi" w:eastAsia="Times New Roman" w:hAnsiTheme="majorBidi" w:cstheme="majorBidi"/>
          <w:color w:val="000000" w:themeColor="text1"/>
          <w:sz w:val="24"/>
          <w:szCs w:val="24"/>
        </w:rPr>
        <w:br/>
      </w:r>
      <w:r w:rsidRPr="00C521C3">
        <w:rPr>
          <w:rStyle w:val="element-citation"/>
          <w:rFonts w:asciiTheme="majorBidi" w:hAnsiTheme="majorBidi" w:cstheme="majorBidi"/>
          <w:color w:val="000000" w:themeColor="text1"/>
          <w:sz w:val="24"/>
          <w:szCs w:val="24"/>
        </w:rPr>
        <w:br/>
      </w:r>
      <w:r w:rsidRPr="00C521C3">
        <w:rPr>
          <w:rStyle w:val="element-citation"/>
          <w:rFonts w:asciiTheme="majorBidi" w:hAnsiTheme="majorBidi" w:cstheme="majorBidi"/>
          <w:color w:val="000000" w:themeColor="text1"/>
          <w:sz w:val="24"/>
          <w:szCs w:val="24"/>
        </w:rPr>
        <w:br/>
      </w:r>
    </w:p>
    <w:p w:rsidR="0041591B" w:rsidRPr="00C521C3" w:rsidRDefault="0041591B" w:rsidP="0041591B">
      <w:pPr>
        <w:pStyle w:val="Heading2"/>
        <w:rPr>
          <w:rFonts w:asciiTheme="majorBidi" w:hAnsiTheme="majorBidi"/>
          <w:b/>
          <w:bCs/>
          <w:color w:val="000000" w:themeColor="text1"/>
          <w:sz w:val="24"/>
          <w:szCs w:val="24"/>
        </w:rPr>
      </w:pPr>
      <w:r w:rsidRPr="00C521C3">
        <w:rPr>
          <w:rFonts w:asciiTheme="majorBidi" w:hAnsiTheme="majorBidi"/>
          <w:b/>
          <w:bCs/>
          <w:color w:val="000000" w:themeColor="text1"/>
          <w:sz w:val="24"/>
          <w:szCs w:val="24"/>
        </w:rPr>
        <w:t>NAFLD management</w:t>
      </w:r>
    </w:p>
    <w:p w:rsidR="0041591B" w:rsidRPr="00C521C3" w:rsidRDefault="0041591B" w:rsidP="00315E3E">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The usual management of NAFLD includes lifestyle counseling to achieve a gradual </w:t>
      </w:r>
      <w:hyperlink r:id="rId49" w:tooltip="Learn more about Body Weight Loss" w:history="1">
        <w:r w:rsidRPr="00C521C3">
          <w:rPr>
            <w:rStyle w:val="Hyperlink"/>
            <w:rFonts w:asciiTheme="majorBidi" w:hAnsiTheme="majorBidi" w:cstheme="majorBidi"/>
            <w:color w:val="000000" w:themeColor="text1"/>
            <w:u w:val="none"/>
          </w:rPr>
          <w:t>weight reduction</w:t>
        </w:r>
      </w:hyperlink>
      <w:r w:rsidRPr="00C521C3">
        <w:rPr>
          <w:rFonts w:asciiTheme="majorBidi" w:hAnsiTheme="majorBidi" w:cstheme="majorBidi"/>
          <w:color w:val="000000" w:themeColor="text1"/>
        </w:rPr>
        <w:t xml:space="preserve"> and an increase in physical activity. Patients are encouraged to </w:t>
      </w:r>
      <w:hyperlink r:id="rId50" w:tooltip="Learn more about Mustard Gas" w:history="1">
        <w:r w:rsidRPr="00C521C3">
          <w:rPr>
            <w:rStyle w:val="Hyperlink"/>
            <w:rFonts w:asciiTheme="majorBidi" w:hAnsiTheme="majorBidi" w:cstheme="majorBidi"/>
            <w:color w:val="000000" w:themeColor="text1"/>
            <w:u w:val="none"/>
          </w:rPr>
          <w:t>lose</w:t>
        </w:r>
      </w:hyperlink>
      <w:r w:rsidRPr="00C521C3">
        <w:rPr>
          <w:rFonts w:asciiTheme="majorBidi" w:hAnsiTheme="majorBidi" w:cstheme="majorBidi"/>
          <w:color w:val="000000" w:themeColor="text1"/>
        </w:rPr>
        <w:t xml:space="preserve"> ≥8% of their </w:t>
      </w:r>
      <w:hyperlink r:id="rId51" w:tooltip="Learn more about Body Weight" w:history="1">
        <w:r w:rsidRPr="00C521C3">
          <w:rPr>
            <w:rStyle w:val="Hyperlink"/>
            <w:rFonts w:asciiTheme="majorBidi" w:hAnsiTheme="majorBidi" w:cstheme="majorBidi"/>
            <w:color w:val="000000" w:themeColor="text1"/>
            <w:u w:val="none"/>
          </w:rPr>
          <w:t>body weight</w:t>
        </w:r>
      </w:hyperlink>
      <w:r w:rsidRPr="00C521C3">
        <w:rPr>
          <w:rFonts w:asciiTheme="majorBidi" w:hAnsiTheme="majorBidi" w:cstheme="majorBidi"/>
          <w:color w:val="000000" w:themeColor="text1"/>
        </w:rPr>
        <w:t xml:space="preserve">. An intensive lifestyle intervention focused on diet, exercise and behavior modification with a goal of 7–10% weight reduction that leads to significant improvement in </w:t>
      </w:r>
      <w:hyperlink r:id="rId52" w:tooltip="Learn more about Liver Histology" w:history="1">
        <w:r w:rsidRPr="00C521C3">
          <w:rPr>
            <w:rStyle w:val="Hyperlink"/>
            <w:rFonts w:asciiTheme="majorBidi" w:hAnsiTheme="majorBidi" w:cstheme="majorBidi"/>
            <w:color w:val="000000" w:themeColor="text1"/>
            <w:u w:val="none"/>
          </w:rPr>
          <w:t>liver histology</w:t>
        </w:r>
      </w:hyperlink>
      <w:r w:rsidRPr="00C521C3">
        <w:rPr>
          <w:rFonts w:asciiTheme="majorBidi" w:hAnsiTheme="majorBidi" w:cstheme="majorBidi"/>
          <w:color w:val="000000" w:themeColor="text1"/>
        </w:rPr>
        <w:t xml:space="preserve"> in patients with NASH </w:t>
      </w:r>
      <w:bookmarkStart w:id="1" w:name="bbb010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"bb0105"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w:t>
      </w:r>
      <w:r w:rsidR="001233A4" w:rsidRPr="00C521C3">
        <w:rPr>
          <w:rStyle w:val="Hyperlink"/>
          <w:rFonts w:asciiTheme="majorBidi" w:hAnsiTheme="majorBidi" w:cstheme="majorBidi"/>
          <w:color w:val="000000" w:themeColor="text1"/>
          <w:u w:val="none"/>
        </w:rPr>
        <w:t>19</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r w:rsidRPr="00C521C3">
        <w:rPr>
          <w:rFonts w:asciiTheme="majorBidi" w:hAnsiTheme="majorBidi" w:cstheme="majorBidi"/>
          <w:color w:val="000000" w:themeColor="text1"/>
        </w:rPr>
        <w:t xml:space="preserve">. Indeed, weight loss improves </w:t>
      </w:r>
      <w:hyperlink r:id="rId53" w:tooltip="Learn more about Steatosis" w:history="1">
        <w:r w:rsidRPr="00C521C3">
          <w:rPr>
            <w:rStyle w:val="Hyperlink"/>
            <w:rFonts w:asciiTheme="majorBidi" w:hAnsiTheme="majorBidi" w:cstheme="majorBidi"/>
            <w:color w:val="000000" w:themeColor="text1"/>
            <w:u w:val="none"/>
          </w:rPr>
          <w:t>steatosis</w:t>
        </w:r>
      </w:hyperlink>
      <w:r w:rsidRPr="00C521C3">
        <w:rPr>
          <w:rFonts w:asciiTheme="majorBidi" w:hAnsiTheme="majorBidi" w:cstheme="majorBidi"/>
          <w:color w:val="000000" w:themeColor="text1"/>
        </w:rPr>
        <w:t xml:space="preserve"> </w:t>
      </w:r>
      <w:bookmarkStart w:id="2" w:name="bbb011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"bb0110"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w:t>
      </w:r>
      <w:r w:rsidR="001233A4" w:rsidRPr="00C521C3">
        <w:rPr>
          <w:rStyle w:val="Hyperlink"/>
          <w:rFonts w:asciiTheme="majorBidi" w:hAnsiTheme="majorBidi" w:cstheme="majorBidi"/>
          <w:color w:val="000000" w:themeColor="text1"/>
          <w:u w:val="none"/>
        </w:rPr>
        <w:t>20</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2"/>
      <w:r w:rsidRPr="00C521C3">
        <w:rPr>
          <w:rFonts w:asciiTheme="majorBidi" w:hAnsiTheme="majorBidi" w:cstheme="majorBidi"/>
          <w:color w:val="000000" w:themeColor="text1"/>
        </w:rPr>
        <w:t xml:space="preserve">, reduces hepatic inflammation and </w:t>
      </w:r>
      <w:hyperlink r:id="rId54" w:tooltip="Learn more about Liver Cell Damage" w:history="1">
        <w:r w:rsidRPr="00C521C3">
          <w:rPr>
            <w:rStyle w:val="Hyperlink"/>
            <w:rFonts w:asciiTheme="majorBidi" w:hAnsiTheme="majorBidi" w:cstheme="majorBidi"/>
            <w:color w:val="000000" w:themeColor="text1"/>
            <w:u w:val="none"/>
          </w:rPr>
          <w:t>hepatocellular injury</w:t>
        </w:r>
      </w:hyperlink>
      <w:r w:rsidRPr="00C521C3">
        <w:rPr>
          <w:rFonts w:asciiTheme="majorBidi" w:hAnsiTheme="majorBidi" w:cstheme="majorBidi"/>
          <w:color w:val="000000" w:themeColor="text1"/>
        </w:rPr>
        <w:t xml:space="preserve"> </w:t>
      </w:r>
      <w:hyperlink r:id="rId55" w:anchor="bb0105" w:history="1">
        <w:r w:rsidRPr="00C521C3">
          <w:rPr>
            <w:rStyle w:val="Hyperlink"/>
            <w:rFonts w:asciiTheme="majorBidi" w:hAnsiTheme="majorBidi" w:cstheme="majorBidi"/>
            <w:color w:val="000000" w:themeColor="text1"/>
            <w:u w:val="none"/>
          </w:rPr>
          <w:t>[21]</w:t>
        </w:r>
      </w:hyperlink>
      <w:bookmarkEnd w:id="1"/>
      <w:r w:rsidRPr="00C521C3">
        <w:rPr>
          <w:rFonts w:asciiTheme="majorBidi" w:hAnsiTheme="majorBidi" w:cstheme="majorBidi"/>
          <w:color w:val="000000" w:themeColor="text1"/>
        </w:rPr>
        <w:t xml:space="preserve">, </w:t>
      </w:r>
      <w:bookmarkStart w:id="3" w:name="bbb011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"bb0115"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1233A4" w:rsidRPr="00C521C3">
        <w:rPr>
          <w:rStyle w:val="Hyperlink"/>
          <w:rFonts w:asciiTheme="majorBidi" w:hAnsiTheme="majorBidi" w:cstheme="majorBidi"/>
          <w:color w:val="000000" w:themeColor="text1"/>
          <w:u w:val="none"/>
        </w:rPr>
        <w:t>2</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3"/>
      <w:r w:rsidRPr="00C521C3">
        <w:rPr>
          <w:rFonts w:asciiTheme="majorBidi" w:hAnsiTheme="majorBidi" w:cstheme="majorBidi"/>
          <w:color w:val="000000" w:themeColor="text1"/>
        </w:rPr>
        <w:t xml:space="preserve"> and improves </w:t>
      </w:r>
      <w:hyperlink r:id="rId56" w:tooltip="Learn more about Cardiovascular Risk" w:history="1">
        <w:r w:rsidRPr="00C521C3">
          <w:rPr>
            <w:rStyle w:val="Hyperlink"/>
            <w:rFonts w:asciiTheme="majorBidi" w:hAnsiTheme="majorBidi" w:cstheme="majorBidi"/>
            <w:color w:val="000000" w:themeColor="text1"/>
            <w:u w:val="none"/>
          </w:rPr>
          <w:t>cardiovascular risk</w:t>
        </w:r>
      </w:hyperlink>
      <w:r w:rsidRPr="00C521C3">
        <w:rPr>
          <w:rFonts w:asciiTheme="majorBidi" w:hAnsiTheme="majorBidi" w:cstheme="majorBidi"/>
          <w:color w:val="000000" w:themeColor="text1"/>
        </w:rPr>
        <w:t xml:space="preserve"> profile. However, weight loss through energy restriction is difficult to achieve and sustain </w:t>
      </w:r>
      <w:bookmarkStart w:id="4" w:name="bbb012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"bb0120"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1233A4" w:rsidRPr="00C521C3">
        <w:rPr>
          <w:rStyle w:val="Hyperlink"/>
          <w:rFonts w:asciiTheme="majorBidi" w:hAnsiTheme="majorBidi" w:cstheme="majorBidi"/>
          <w:color w:val="000000" w:themeColor="text1"/>
          <w:u w:val="none"/>
        </w:rPr>
        <w:t>3</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4"/>
      <w:r w:rsidRPr="00C521C3">
        <w:rPr>
          <w:rFonts w:asciiTheme="majorBidi" w:hAnsiTheme="majorBidi" w:cstheme="majorBidi"/>
          <w:color w:val="000000" w:themeColor="text1"/>
        </w:rPr>
        <w:t xml:space="preserve">. Physical activity and exercise also effectively decrease steatosis. Cross-sectional and prospective studies have shown that physical activity decreases intrahepatic lipids </w:t>
      </w:r>
      <w:bookmarkStart w:id="5" w:name="bbb012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"bb0125"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C05D7D" w:rsidRPr="00C521C3">
        <w:rPr>
          <w:rStyle w:val="Hyperlink"/>
          <w:rFonts w:asciiTheme="majorBidi" w:hAnsiTheme="majorBidi" w:cstheme="majorBidi"/>
          <w:color w:val="000000" w:themeColor="text1"/>
          <w:u w:val="none"/>
        </w:rPr>
        <w:t>4</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5"/>
      <w:r w:rsidRPr="00C521C3">
        <w:rPr>
          <w:rFonts w:asciiTheme="majorBidi" w:hAnsiTheme="majorBidi" w:cstheme="majorBidi"/>
          <w:color w:val="000000" w:themeColor="text1"/>
        </w:rPr>
        <w:t xml:space="preserve">, </w:t>
      </w:r>
      <w:bookmarkStart w:id="6" w:name="bbb013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"bb0130"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C05D7D" w:rsidRPr="00C521C3">
        <w:rPr>
          <w:rStyle w:val="Hyperlink"/>
          <w:rFonts w:asciiTheme="majorBidi" w:hAnsiTheme="majorBidi" w:cstheme="majorBidi"/>
          <w:color w:val="000000" w:themeColor="text1"/>
          <w:u w:val="none"/>
        </w:rPr>
        <w:t>5</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6"/>
      <w:r w:rsidRPr="00C521C3">
        <w:rPr>
          <w:rFonts w:asciiTheme="majorBidi" w:hAnsiTheme="majorBidi" w:cstheme="majorBidi"/>
          <w:color w:val="000000" w:themeColor="text1"/>
        </w:rPr>
        <w:t xml:space="preserve">. Both </w:t>
      </w:r>
      <w:hyperlink r:id="rId57" w:tooltip="Learn more about Aerobic Exercise" w:history="1">
        <w:r w:rsidRPr="00C521C3">
          <w:rPr>
            <w:rStyle w:val="Hyperlink"/>
            <w:rFonts w:asciiTheme="majorBidi" w:hAnsiTheme="majorBidi" w:cstheme="majorBidi"/>
            <w:color w:val="000000" w:themeColor="text1"/>
            <w:u w:val="none"/>
          </w:rPr>
          <w:t>aerobic</w:t>
        </w:r>
      </w:hyperlink>
      <w:r w:rsidRPr="00C521C3">
        <w:rPr>
          <w:rFonts w:asciiTheme="majorBidi" w:hAnsiTheme="majorBidi" w:cstheme="majorBidi"/>
          <w:color w:val="000000" w:themeColor="text1"/>
        </w:rPr>
        <w:t xml:space="preserve"> and resistant exercises have been shown to improve </w:t>
      </w:r>
      <w:hyperlink r:id="rId58" w:tooltip="Learn more about Liver Function" w:history="1">
        <w:r w:rsidRPr="00C521C3">
          <w:rPr>
            <w:rStyle w:val="Hyperlink"/>
            <w:rFonts w:asciiTheme="majorBidi" w:hAnsiTheme="majorBidi" w:cstheme="majorBidi"/>
            <w:color w:val="000000" w:themeColor="text1"/>
            <w:u w:val="none"/>
          </w:rPr>
          <w:t>liver function</w:t>
        </w:r>
      </w:hyperlink>
      <w:r w:rsidRPr="00C521C3">
        <w:rPr>
          <w:rFonts w:asciiTheme="majorBidi" w:hAnsiTheme="majorBidi" w:cstheme="majorBidi"/>
          <w:color w:val="000000" w:themeColor="text1"/>
        </w:rPr>
        <w:t xml:space="preserve">, independently of weight loss </w:t>
      </w:r>
      <w:bookmarkStart w:id="7" w:name="bbb013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"bb0135"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315E3E" w:rsidRPr="00C521C3">
        <w:rPr>
          <w:rStyle w:val="Hyperlink"/>
          <w:rFonts w:asciiTheme="majorBidi" w:hAnsiTheme="majorBidi" w:cstheme="majorBidi"/>
          <w:color w:val="000000" w:themeColor="text1"/>
          <w:u w:val="none"/>
        </w:rPr>
        <w:t>6</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7"/>
      <w:r w:rsidRPr="00C521C3">
        <w:rPr>
          <w:rFonts w:asciiTheme="majorBidi" w:hAnsiTheme="majorBidi" w:cstheme="majorBidi"/>
          <w:color w:val="000000" w:themeColor="text1"/>
        </w:rPr>
        <w:t xml:space="preserve">, </w:t>
      </w:r>
      <w:bookmarkStart w:id="8" w:name="bbb014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"bb0140"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315E3E" w:rsidRPr="00C521C3">
        <w:rPr>
          <w:rStyle w:val="Hyperlink"/>
          <w:rFonts w:asciiTheme="majorBidi" w:hAnsiTheme="majorBidi" w:cstheme="majorBidi"/>
          <w:color w:val="000000" w:themeColor="text1"/>
          <w:u w:val="none"/>
        </w:rPr>
        <w:t>7</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8"/>
      <w:r w:rsidRPr="00C521C3">
        <w:rPr>
          <w:rFonts w:asciiTheme="majorBidi" w:hAnsiTheme="majorBidi" w:cstheme="majorBidi"/>
          <w:color w:val="000000" w:themeColor="text1"/>
        </w:rPr>
        <w:t xml:space="preserve">, </w:t>
      </w:r>
      <w:bookmarkStart w:id="9" w:name="bbb014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"bb0145"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[2</w:t>
      </w:r>
      <w:r w:rsidR="00315E3E" w:rsidRPr="00C521C3">
        <w:rPr>
          <w:rStyle w:val="Hyperlink"/>
          <w:rFonts w:asciiTheme="majorBidi" w:hAnsiTheme="majorBidi" w:cstheme="majorBidi"/>
          <w:color w:val="000000" w:themeColor="text1"/>
          <w:u w:val="none"/>
        </w:rPr>
        <w:t>8</w:t>
      </w:r>
      <w:r w:rsidRPr="00C521C3">
        <w:rPr>
          <w:rStyle w:val="Hyperlink"/>
          <w:rFonts w:asciiTheme="majorBidi" w:hAnsiTheme="majorBidi" w:cstheme="majorBidi"/>
          <w:color w:val="000000" w:themeColor="text1"/>
          <w:u w:val="none"/>
        </w:rPr>
        <w:t>]</w:t>
      </w:r>
      <w:r w:rsidRPr="00C521C3">
        <w:rPr>
          <w:rFonts w:asciiTheme="majorBidi" w:hAnsiTheme="majorBidi" w:cstheme="majorBidi"/>
          <w:color w:val="000000" w:themeColor="text1"/>
        </w:rPr>
        <w:fldChar w:fldCharType="end"/>
      </w:r>
      <w:bookmarkEnd w:id="9"/>
      <w:r w:rsidRPr="00C521C3">
        <w:rPr>
          <w:rFonts w:asciiTheme="majorBidi" w:hAnsiTheme="majorBidi" w:cstheme="majorBidi"/>
          <w:color w:val="000000" w:themeColor="text1"/>
        </w:rPr>
        <w:t>.</w:t>
      </w:r>
    </w:p>
    <w:p w:rsidR="0041591B" w:rsidRPr="00C521C3" w:rsidRDefault="0041591B" w:rsidP="0041591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In addition to total </w:t>
      </w:r>
      <w:hyperlink r:id="rId59" w:tooltip="Learn more about Caloric Intake" w:history="1">
        <w:r w:rsidRPr="00C521C3">
          <w:rPr>
            <w:rStyle w:val="Hyperlink"/>
            <w:rFonts w:asciiTheme="majorBidi" w:hAnsiTheme="majorBidi" w:cstheme="majorBidi"/>
            <w:color w:val="000000" w:themeColor="text1"/>
            <w:u w:val="none"/>
          </w:rPr>
          <w:t>energy intake</w:t>
        </w:r>
      </w:hyperlink>
      <w:r w:rsidRPr="00C521C3">
        <w:rPr>
          <w:rFonts w:asciiTheme="majorBidi" w:hAnsiTheme="majorBidi" w:cstheme="majorBidi"/>
          <w:color w:val="000000" w:themeColor="text1"/>
        </w:rPr>
        <w:t xml:space="preserve">, the composition of the diet also affects the metabolic and </w:t>
      </w:r>
      <w:hyperlink r:id="rId60" w:tooltip="Learn more about Endocrine Function" w:history="1">
        <w:r w:rsidRPr="00C521C3">
          <w:rPr>
            <w:rStyle w:val="Hyperlink"/>
            <w:rFonts w:asciiTheme="majorBidi" w:hAnsiTheme="majorBidi" w:cstheme="majorBidi"/>
            <w:color w:val="000000" w:themeColor="text1"/>
            <w:u w:val="none"/>
          </w:rPr>
          <w:t>endocrine functions</w:t>
        </w:r>
      </w:hyperlink>
      <w:r w:rsidRPr="00C521C3">
        <w:rPr>
          <w:rFonts w:asciiTheme="majorBidi" w:hAnsiTheme="majorBidi" w:cstheme="majorBidi"/>
          <w:color w:val="000000" w:themeColor="text1"/>
        </w:rPr>
        <w:t xml:space="preserve"> and overall </w:t>
      </w:r>
      <w:hyperlink r:id="rId61" w:tooltip="Learn more about Energy Balance" w:history="1">
        <w:r w:rsidRPr="00C521C3">
          <w:rPr>
            <w:rStyle w:val="Hyperlink"/>
            <w:rFonts w:asciiTheme="majorBidi" w:hAnsiTheme="majorBidi" w:cstheme="majorBidi"/>
            <w:color w:val="000000" w:themeColor="text1"/>
            <w:u w:val="none"/>
          </w:rPr>
          <w:t>energy balance</w:t>
        </w:r>
      </w:hyperlink>
      <w:r w:rsidRPr="00C521C3">
        <w:rPr>
          <w:rFonts w:asciiTheme="majorBidi" w:hAnsiTheme="majorBidi" w:cstheme="majorBidi"/>
          <w:color w:val="000000" w:themeColor="text1"/>
        </w:rPr>
        <w:t xml:space="preserve"> </w:t>
      </w:r>
      <w:bookmarkStart w:id="10" w:name="bbb015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"bb0150"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w:t>
      </w:r>
      <w:r w:rsidR="00315E3E" w:rsidRPr="00C521C3">
        <w:rPr>
          <w:rStyle w:val="Hyperlink"/>
          <w:rFonts w:asciiTheme="majorBidi" w:hAnsiTheme="majorBidi" w:cstheme="majorBidi"/>
          <w:color w:val="000000" w:themeColor="text1"/>
          <w:u w:val="none"/>
        </w:rPr>
        <w:t>29.</w:t>
      </w:r>
      <w:r w:rsidRPr="00C521C3">
        <w:rPr>
          <w:rStyle w:val="Hyperlink"/>
          <w:rFonts w:asciiTheme="majorBidi" w:hAnsiTheme="majorBidi" w:cstheme="majorBidi"/>
          <w:color w:val="000000" w:themeColor="text1"/>
          <w:u w:val="none"/>
        </w:rPr>
        <w:t>30]</w:t>
      </w:r>
      <w:r w:rsidRPr="00C521C3">
        <w:rPr>
          <w:rFonts w:asciiTheme="majorBidi" w:hAnsiTheme="majorBidi" w:cstheme="majorBidi"/>
          <w:color w:val="000000" w:themeColor="text1"/>
        </w:rPr>
        <w:fldChar w:fldCharType="end"/>
      </w:r>
      <w:r w:rsidRPr="00C521C3">
        <w:rPr>
          <w:rFonts w:asciiTheme="majorBidi" w:hAnsiTheme="majorBidi" w:cstheme="majorBidi"/>
          <w:color w:val="000000" w:themeColor="text1"/>
        </w:rPr>
        <w:t xml:space="preserve">. Most recommendations encourage the consumption of diets rich in fruits and vegetables for prevention of </w:t>
      </w:r>
      <w:hyperlink r:id="rId62" w:tooltip="Learn more about Chronic Disease" w:history="1">
        <w:r w:rsidRPr="00C521C3">
          <w:rPr>
            <w:rStyle w:val="Hyperlink"/>
            <w:rFonts w:asciiTheme="majorBidi" w:hAnsiTheme="majorBidi" w:cstheme="majorBidi"/>
            <w:color w:val="000000" w:themeColor="text1"/>
            <w:u w:val="none"/>
          </w:rPr>
          <w:t>chronic disease</w:t>
        </w:r>
      </w:hyperlink>
      <w:r w:rsidRPr="00C521C3">
        <w:rPr>
          <w:rFonts w:asciiTheme="majorBidi" w:hAnsiTheme="majorBidi" w:cstheme="majorBidi"/>
          <w:color w:val="000000" w:themeColor="text1"/>
        </w:rPr>
        <w:t>, and NAFLD is not an exception. Such diets would provide significant amount of bioactive components with known beneficial effects due in part to their antiinflammatory properties </w:t>
      </w:r>
      <w:bookmarkStart w:id="11" w:name="bbb015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"bb0155"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[31]</w:t>
      </w:r>
      <w:r w:rsidRPr="00C521C3">
        <w:rPr>
          <w:rFonts w:asciiTheme="majorBidi" w:hAnsiTheme="majorBidi" w:cstheme="majorBidi"/>
          <w:color w:val="000000" w:themeColor="text1"/>
        </w:rPr>
        <w:fldChar w:fldCharType="end"/>
      </w:r>
      <w:r w:rsidRPr="00C521C3">
        <w:rPr>
          <w:rFonts w:asciiTheme="majorBidi" w:hAnsiTheme="majorBidi" w:cstheme="majorBidi"/>
          <w:color w:val="000000" w:themeColor="text1"/>
        </w:rPr>
        <w:t>.</w:t>
      </w:r>
    </w:p>
    <w:p w:rsidR="0041591B" w:rsidRPr="00C521C3" w:rsidRDefault="0041591B" w:rsidP="0041591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General recommendations include a reduction in the intakes of total fat, </w:t>
      </w:r>
      <w:hyperlink r:id="rId63" w:tooltip="Learn more about Saturated Fatty Acid" w:history="1">
        <w:r w:rsidRPr="00C521C3">
          <w:rPr>
            <w:rStyle w:val="Hyperlink"/>
            <w:rFonts w:asciiTheme="majorBidi" w:hAnsiTheme="majorBidi" w:cstheme="majorBidi"/>
            <w:color w:val="000000" w:themeColor="text1"/>
            <w:u w:val="none"/>
          </w:rPr>
          <w:t>saturated fatty acids</w:t>
        </w:r>
      </w:hyperlink>
      <w:r w:rsidRPr="00C521C3">
        <w:rPr>
          <w:rFonts w:asciiTheme="majorBidi" w:hAnsiTheme="majorBidi" w:cstheme="majorBidi"/>
          <w:color w:val="000000" w:themeColor="text1"/>
        </w:rPr>
        <w:t xml:space="preserve">, </w:t>
      </w:r>
      <w:hyperlink r:id="rId64" w:tooltip="Learn more about Trans Fatty Acid" w:history="1">
        <w:r w:rsidRPr="00C521C3">
          <w:rPr>
            <w:rStyle w:val="Hyperlink"/>
            <w:rFonts w:asciiTheme="majorBidi" w:hAnsiTheme="majorBidi" w:cstheme="majorBidi"/>
            <w:color w:val="000000" w:themeColor="text1"/>
            <w:u w:val="none"/>
          </w:rPr>
          <w:t>trans fatty acids</w:t>
        </w:r>
      </w:hyperlink>
      <w:r w:rsidRPr="00C521C3">
        <w:rPr>
          <w:rFonts w:asciiTheme="majorBidi" w:hAnsiTheme="majorBidi" w:cstheme="majorBidi"/>
          <w:color w:val="000000" w:themeColor="text1"/>
        </w:rPr>
        <w:t xml:space="preserve"> and </w:t>
      </w:r>
      <w:hyperlink r:id="rId65" w:tooltip="Learn more about Fructose" w:history="1">
        <w:r w:rsidRPr="00C521C3">
          <w:rPr>
            <w:rStyle w:val="Hyperlink"/>
            <w:rFonts w:asciiTheme="majorBidi" w:hAnsiTheme="majorBidi" w:cstheme="majorBidi"/>
            <w:color w:val="000000" w:themeColor="text1"/>
            <w:u w:val="none"/>
          </w:rPr>
          <w:t>fructose</w:t>
        </w:r>
      </w:hyperlink>
      <w:r w:rsidRPr="00C521C3">
        <w:rPr>
          <w:rFonts w:asciiTheme="majorBidi" w:hAnsiTheme="majorBidi" w:cstheme="majorBidi"/>
          <w:color w:val="000000" w:themeColor="text1"/>
        </w:rPr>
        <w:t xml:space="preserve">. Indeed, high fructose intake has been associated with increased risk of NAFLD and </w:t>
      </w:r>
      <w:hyperlink r:id="rId66" w:tooltip="Learn more about Liver Injury" w:history="1">
        <w:r w:rsidRPr="00C521C3">
          <w:rPr>
            <w:rStyle w:val="Hyperlink"/>
            <w:rFonts w:asciiTheme="majorBidi" w:hAnsiTheme="majorBidi" w:cstheme="majorBidi"/>
            <w:color w:val="000000" w:themeColor="text1"/>
            <w:u w:val="none"/>
          </w:rPr>
          <w:t>liver damage</w:t>
        </w:r>
      </w:hyperlink>
      <w:r w:rsidRPr="00C521C3">
        <w:rPr>
          <w:rFonts w:asciiTheme="majorBidi" w:hAnsiTheme="majorBidi" w:cstheme="majorBidi"/>
          <w:color w:val="000000" w:themeColor="text1"/>
        </w:rPr>
        <w:t xml:space="preserve"> </w:t>
      </w:r>
      <w:bookmarkStart w:id="12" w:name="bbb016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"bb0160"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[32]</w:t>
      </w:r>
      <w:r w:rsidRPr="00C521C3">
        <w:rPr>
          <w:rFonts w:asciiTheme="majorBidi" w:hAnsiTheme="majorBidi" w:cstheme="majorBidi"/>
          <w:color w:val="000000" w:themeColor="text1"/>
        </w:rPr>
        <w:fldChar w:fldCharType="end"/>
      </w:r>
      <w:bookmarkEnd w:id="12"/>
      <w:r w:rsidRPr="00C521C3">
        <w:rPr>
          <w:rFonts w:asciiTheme="majorBidi" w:hAnsiTheme="majorBidi" w:cstheme="majorBidi"/>
          <w:color w:val="000000" w:themeColor="text1"/>
        </w:rPr>
        <w:t xml:space="preserve">, </w:t>
      </w:r>
      <w:bookmarkStart w:id="13" w:name="bbb016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"bb0165"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[33]</w:t>
      </w:r>
      <w:r w:rsidRPr="00C521C3">
        <w:rPr>
          <w:rFonts w:asciiTheme="majorBidi" w:hAnsiTheme="majorBidi" w:cstheme="majorBidi"/>
          <w:color w:val="000000" w:themeColor="text1"/>
        </w:rPr>
        <w:fldChar w:fldCharType="end"/>
      </w:r>
      <w:bookmarkEnd w:id="13"/>
      <w:r w:rsidRPr="00C521C3">
        <w:rPr>
          <w:rFonts w:asciiTheme="majorBidi" w:hAnsiTheme="majorBidi" w:cstheme="majorBidi"/>
          <w:color w:val="000000" w:themeColor="text1"/>
        </w:rPr>
        <w:t xml:space="preserve">, </w:t>
      </w:r>
      <w:bookmarkStart w:id="14" w:name="bbb017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"bb0170"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[34]</w:t>
      </w:r>
      <w:r w:rsidRPr="00C521C3">
        <w:rPr>
          <w:rFonts w:asciiTheme="majorBidi" w:hAnsiTheme="majorBidi" w:cstheme="majorBidi"/>
          <w:color w:val="000000" w:themeColor="text1"/>
        </w:rPr>
        <w:fldChar w:fldCharType="end"/>
      </w:r>
      <w:bookmarkEnd w:id="14"/>
      <w:r w:rsidRPr="00C521C3">
        <w:rPr>
          <w:rFonts w:asciiTheme="majorBidi" w:hAnsiTheme="majorBidi" w:cstheme="majorBidi"/>
          <w:color w:val="000000" w:themeColor="text1"/>
        </w:rPr>
        <w:t xml:space="preserve">. Dietary fructose (consumed in the form of soft drinks) has been implicated in the </w:t>
      </w:r>
      <w:hyperlink r:id="rId67" w:tooltip="Learn more about Pathogenesis" w:history="1">
        <w:r w:rsidRPr="00C521C3">
          <w:rPr>
            <w:rStyle w:val="Hyperlink"/>
            <w:rFonts w:asciiTheme="majorBidi" w:hAnsiTheme="majorBidi" w:cstheme="majorBidi"/>
            <w:color w:val="000000" w:themeColor="text1"/>
            <w:u w:val="none"/>
          </w:rPr>
          <w:t>pathogenesis</w:t>
        </w:r>
      </w:hyperlink>
      <w:r w:rsidRPr="00C521C3">
        <w:rPr>
          <w:rFonts w:asciiTheme="majorBidi" w:hAnsiTheme="majorBidi" w:cstheme="majorBidi"/>
          <w:color w:val="000000" w:themeColor="text1"/>
        </w:rPr>
        <w:t xml:space="preserve"> of NAFLD </w:t>
      </w:r>
      <w:bookmarkStart w:id="15" w:name="bbb017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"bb0175"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[35]</w:t>
      </w:r>
      <w:r w:rsidRPr="00C521C3">
        <w:rPr>
          <w:rFonts w:asciiTheme="majorBidi" w:hAnsiTheme="majorBidi" w:cstheme="majorBidi"/>
          <w:color w:val="000000" w:themeColor="text1"/>
        </w:rPr>
        <w:fldChar w:fldCharType="end"/>
      </w:r>
      <w:bookmarkEnd w:id="15"/>
      <w:r w:rsidRPr="00C521C3">
        <w:rPr>
          <w:rFonts w:asciiTheme="majorBidi" w:hAnsiTheme="majorBidi" w:cstheme="majorBidi"/>
          <w:color w:val="000000" w:themeColor="text1"/>
        </w:rPr>
        <w:t xml:space="preserve">. Mice with </w:t>
      </w:r>
      <w:r w:rsidRPr="00C521C3">
        <w:rPr>
          <w:rStyle w:val="Emphasis"/>
          <w:rFonts w:asciiTheme="majorBidi" w:hAnsiTheme="majorBidi" w:cstheme="majorBidi"/>
          <w:color w:val="000000" w:themeColor="text1"/>
        </w:rPr>
        <w:t>ad libitum</w:t>
      </w:r>
      <w:r w:rsidRPr="00C521C3">
        <w:rPr>
          <w:rFonts w:asciiTheme="majorBidi" w:hAnsiTheme="majorBidi" w:cstheme="majorBidi"/>
          <w:color w:val="000000" w:themeColor="text1"/>
        </w:rPr>
        <w:t xml:space="preserve"> access to fructose solution showed significantly higher levels of hepatic </w:t>
      </w:r>
      <w:hyperlink r:id="rId68" w:tooltip="Learn more about Lipid Storage" w:history="1">
        <w:r w:rsidRPr="00C521C3">
          <w:rPr>
            <w:rStyle w:val="Hyperlink"/>
            <w:rFonts w:asciiTheme="majorBidi" w:hAnsiTheme="majorBidi" w:cstheme="majorBidi"/>
            <w:color w:val="000000" w:themeColor="text1"/>
            <w:u w:val="none"/>
          </w:rPr>
          <w:t>lipid accumulation</w:t>
        </w:r>
      </w:hyperlink>
      <w:r w:rsidRPr="00C521C3">
        <w:rPr>
          <w:rFonts w:asciiTheme="majorBidi" w:hAnsiTheme="majorBidi" w:cstheme="majorBidi"/>
          <w:color w:val="000000" w:themeColor="text1"/>
        </w:rPr>
        <w:t xml:space="preserve">, </w:t>
      </w:r>
      <w:hyperlink r:id="rId69" w:tooltip="Learn more about Lipid Peroxidation" w:history="1">
        <w:r w:rsidRPr="00C521C3">
          <w:rPr>
            <w:rStyle w:val="Hyperlink"/>
            <w:rFonts w:asciiTheme="majorBidi" w:hAnsiTheme="majorBidi" w:cstheme="majorBidi"/>
            <w:color w:val="000000" w:themeColor="text1"/>
            <w:u w:val="none"/>
          </w:rPr>
          <w:t>lipid peroxidation</w:t>
        </w:r>
      </w:hyperlink>
      <w:r w:rsidRPr="00C521C3">
        <w:rPr>
          <w:rFonts w:asciiTheme="majorBidi" w:hAnsiTheme="majorBidi" w:cstheme="majorBidi"/>
          <w:color w:val="000000" w:themeColor="text1"/>
        </w:rPr>
        <w:t xml:space="preserve"> and </w:t>
      </w:r>
      <w:hyperlink r:id="rId70" w:tooltip="Learn more about Endotoxin" w:history="1">
        <w:r w:rsidRPr="00C521C3">
          <w:rPr>
            <w:rStyle w:val="Hyperlink"/>
            <w:rFonts w:asciiTheme="majorBidi" w:hAnsiTheme="majorBidi" w:cstheme="majorBidi"/>
            <w:color w:val="000000" w:themeColor="text1"/>
            <w:u w:val="none"/>
          </w:rPr>
          <w:t>endotoxin</w:t>
        </w:r>
      </w:hyperlink>
      <w:r w:rsidRPr="00C521C3">
        <w:rPr>
          <w:rFonts w:asciiTheme="majorBidi" w:hAnsiTheme="majorBidi" w:cstheme="majorBidi"/>
          <w:color w:val="000000" w:themeColor="text1"/>
        </w:rPr>
        <w:t xml:space="preserve"> levels in the portal blood compared to controls and mice fed with glucose solution </w:t>
      </w:r>
      <w:bookmarkStart w:id="16" w:name="bbb018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"bb0180"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[36]</w:t>
      </w:r>
      <w:r w:rsidRPr="00C521C3">
        <w:rPr>
          <w:rFonts w:asciiTheme="majorBidi" w:hAnsiTheme="majorBidi" w:cstheme="majorBidi"/>
          <w:color w:val="000000" w:themeColor="text1"/>
        </w:rPr>
        <w:fldChar w:fldCharType="end"/>
      </w:r>
      <w:bookmarkEnd w:id="16"/>
      <w:r w:rsidRPr="00C521C3">
        <w:rPr>
          <w:rFonts w:asciiTheme="majorBidi" w:hAnsiTheme="majorBidi" w:cstheme="majorBidi"/>
          <w:color w:val="000000" w:themeColor="text1"/>
        </w:rPr>
        <w:t>.</w:t>
      </w:r>
    </w:p>
    <w:p w:rsidR="0041591B" w:rsidRPr="00C521C3" w:rsidRDefault="0041591B" w:rsidP="0041591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Conversely, an increase in the intakes of </w:t>
      </w:r>
      <w:hyperlink r:id="rId71" w:tooltip="Learn more about Polyunsaturated Fatty Acid" w:history="1">
        <w:r w:rsidRPr="00C521C3">
          <w:rPr>
            <w:rStyle w:val="Hyperlink"/>
            <w:rFonts w:asciiTheme="majorBidi" w:hAnsiTheme="majorBidi" w:cstheme="majorBidi"/>
            <w:color w:val="000000" w:themeColor="text1"/>
            <w:u w:val="none"/>
          </w:rPr>
          <w:t>polyunsaturated fatty acids</w:t>
        </w:r>
      </w:hyperlink>
      <w:r w:rsidRPr="00C521C3">
        <w:rPr>
          <w:rFonts w:asciiTheme="majorBidi" w:hAnsiTheme="majorBidi" w:cstheme="majorBidi"/>
          <w:color w:val="000000" w:themeColor="text1"/>
        </w:rPr>
        <w:t xml:space="preserve"> (PUFAs) and </w:t>
      </w:r>
      <w:hyperlink r:id="rId72" w:tooltip="Learn more about Monounsaturated Fatty Acid" w:history="1">
        <w:r w:rsidRPr="00C521C3">
          <w:rPr>
            <w:rStyle w:val="Hyperlink"/>
            <w:rFonts w:asciiTheme="majorBidi" w:hAnsiTheme="majorBidi" w:cstheme="majorBidi"/>
            <w:color w:val="000000" w:themeColor="text1"/>
            <w:u w:val="none"/>
          </w:rPr>
          <w:t>monounsaturated fatty acids</w:t>
        </w:r>
      </w:hyperlink>
      <w:r w:rsidRPr="00C521C3">
        <w:rPr>
          <w:rFonts w:asciiTheme="majorBidi" w:hAnsiTheme="majorBidi" w:cstheme="majorBidi"/>
          <w:color w:val="000000" w:themeColor="text1"/>
        </w:rPr>
        <w:t xml:space="preserve"> is advised. Moreover, there is recommendation to include long-chain n-3 fatty acids to reduce the risk of NAFLD.</w:t>
      </w:r>
    </w:p>
    <w:p w:rsidR="0041591B" w:rsidRPr="00C521C3" w:rsidRDefault="0041591B" w:rsidP="0041591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A few trials were conducted to evaluate the impact of specific </w:t>
      </w:r>
      <w:hyperlink r:id="rId73" w:tooltip="Learn more about Dietary Pattern" w:history="1">
        <w:r w:rsidRPr="00C521C3">
          <w:rPr>
            <w:rStyle w:val="Hyperlink"/>
            <w:rFonts w:asciiTheme="majorBidi" w:hAnsiTheme="majorBidi" w:cstheme="majorBidi"/>
            <w:color w:val="000000" w:themeColor="text1"/>
            <w:u w:val="none"/>
          </w:rPr>
          <w:t>dietary patterns</w:t>
        </w:r>
      </w:hyperlink>
      <w:r w:rsidRPr="00C521C3">
        <w:rPr>
          <w:rFonts w:asciiTheme="majorBidi" w:hAnsiTheme="majorBidi" w:cstheme="majorBidi"/>
          <w:color w:val="000000" w:themeColor="text1"/>
        </w:rPr>
        <w:t xml:space="preserve"> on liver damage in patients with NAFLD. In this regard, </w:t>
      </w:r>
      <w:hyperlink r:id="rId74" w:tooltip="Learn more about Mediterranean Diet" w:history="1">
        <w:r w:rsidRPr="00C521C3">
          <w:rPr>
            <w:rStyle w:val="Hyperlink"/>
            <w:rFonts w:asciiTheme="majorBidi" w:hAnsiTheme="majorBidi" w:cstheme="majorBidi"/>
            <w:color w:val="000000" w:themeColor="text1"/>
            <w:u w:val="none"/>
          </w:rPr>
          <w:t>Mediterranean diet</w:t>
        </w:r>
      </w:hyperlink>
      <w:r w:rsidRPr="00C521C3">
        <w:rPr>
          <w:rFonts w:asciiTheme="majorBidi" w:hAnsiTheme="majorBidi" w:cstheme="majorBidi"/>
          <w:color w:val="000000" w:themeColor="text1"/>
        </w:rPr>
        <w:t xml:space="preserve"> led to similar weight loss but induced a more marked reduction of </w:t>
      </w:r>
      <w:hyperlink r:id="rId75" w:tooltip="Learn more about Liver Enzyme" w:history="1">
        <w:r w:rsidRPr="00C521C3">
          <w:rPr>
            <w:rStyle w:val="Hyperlink"/>
            <w:rFonts w:asciiTheme="majorBidi" w:hAnsiTheme="majorBidi" w:cstheme="majorBidi"/>
            <w:color w:val="000000" w:themeColor="text1"/>
            <w:u w:val="none"/>
          </w:rPr>
          <w:t>liver enzymes</w:t>
        </w:r>
      </w:hyperlink>
      <w:r w:rsidRPr="00C521C3">
        <w:rPr>
          <w:rFonts w:asciiTheme="majorBidi" w:hAnsiTheme="majorBidi" w:cstheme="majorBidi"/>
          <w:color w:val="000000" w:themeColor="text1"/>
        </w:rPr>
        <w:t xml:space="preserve"> and of IR compared to a low-fat </w:t>
      </w:r>
      <w:hyperlink r:id="rId76" w:tooltip="Learn more about Carbohydrate Diet" w:history="1">
        <w:r w:rsidRPr="00C521C3">
          <w:rPr>
            <w:rStyle w:val="Hyperlink"/>
            <w:rFonts w:asciiTheme="majorBidi" w:hAnsiTheme="majorBidi" w:cstheme="majorBidi"/>
            <w:color w:val="000000" w:themeColor="text1"/>
            <w:u w:val="none"/>
          </w:rPr>
          <w:t>high carbohydrate diet</w:t>
        </w:r>
      </w:hyperlink>
      <w:r w:rsidRPr="00C521C3">
        <w:rPr>
          <w:rFonts w:asciiTheme="majorBidi" w:hAnsiTheme="majorBidi" w:cstheme="majorBidi"/>
          <w:color w:val="000000" w:themeColor="text1"/>
        </w:rPr>
        <w:t xml:space="preserve"> </w:t>
      </w:r>
      <w:hyperlink r:id="rId77" w:anchor="bb0150" w:history="1">
        <w:r w:rsidRPr="00C521C3">
          <w:rPr>
            <w:rStyle w:val="Hyperlink"/>
            <w:rFonts w:asciiTheme="majorBidi" w:hAnsiTheme="majorBidi" w:cstheme="majorBidi"/>
            <w:color w:val="000000" w:themeColor="text1"/>
            <w:u w:val="none"/>
          </w:rPr>
          <w:t>[30]</w:t>
        </w:r>
      </w:hyperlink>
      <w:bookmarkEnd w:id="10"/>
      <w:r w:rsidRPr="00C521C3">
        <w:rPr>
          <w:rFonts w:asciiTheme="majorBidi" w:hAnsiTheme="majorBidi" w:cstheme="majorBidi"/>
          <w:color w:val="000000" w:themeColor="text1"/>
        </w:rPr>
        <w:t xml:space="preserve">. Indeed, the diet of patients with NASH is usually enriched in saturated fat and cholesterol, whereas it is poor in polyunsaturated fat, fibers and antioxidant </w:t>
      </w:r>
      <w:hyperlink r:id="rId78" w:tooltip="Learn more about Alpha Tocopherol" w:history="1">
        <w:r w:rsidRPr="00C521C3">
          <w:rPr>
            <w:rStyle w:val="Hyperlink"/>
            <w:rFonts w:asciiTheme="majorBidi" w:hAnsiTheme="majorBidi" w:cstheme="majorBidi"/>
            <w:color w:val="000000" w:themeColor="text1"/>
            <w:u w:val="none"/>
          </w:rPr>
          <w:t>vitamins C and E</w:t>
        </w:r>
      </w:hyperlink>
      <w:r w:rsidRPr="00C521C3">
        <w:rPr>
          <w:rFonts w:asciiTheme="majorBidi" w:hAnsiTheme="majorBidi" w:cstheme="majorBidi"/>
          <w:color w:val="000000" w:themeColor="text1"/>
        </w:rPr>
        <w:t xml:space="preserve"> </w:t>
      </w:r>
      <w:hyperlink r:id="rId79" w:anchor="bb0155" w:history="1">
        <w:r w:rsidRPr="00C521C3">
          <w:rPr>
            <w:rStyle w:val="Hyperlink"/>
            <w:rFonts w:asciiTheme="majorBidi" w:hAnsiTheme="majorBidi" w:cstheme="majorBidi"/>
            <w:color w:val="000000" w:themeColor="text1"/>
            <w:u w:val="none"/>
          </w:rPr>
          <w:t>[31]</w:t>
        </w:r>
      </w:hyperlink>
      <w:bookmarkEnd w:id="11"/>
      <w:r w:rsidRPr="00C521C3">
        <w:rPr>
          <w:rFonts w:asciiTheme="majorBidi" w:hAnsiTheme="majorBidi" w:cstheme="majorBidi"/>
          <w:color w:val="000000" w:themeColor="text1"/>
        </w:rPr>
        <w:t xml:space="preserve">. In addition to an imbalance in </w:t>
      </w:r>
      <w:hyperlink r:id="rId80" w:tooltip="Learn more about Fat Intake" w:history="1">
        <w:r w:rsidRPr="00C521C3">
          <w:rPr>
            <w:rStyle w:val="Hyperlink"/>
            <w:rFonts w:asciiTheme="majorBidi" w:hAnsiTheme="majorBidi" w:cstheme="majorBidi"/>
            <w:color w:val="000000" w:themeColor="text1"/>
            <w:u w:val="none"/>
          </w:rPr>
          <w:t>fat intake</w:t>
        </w:r>
      </w:hyperlink>
      <w:r w:rsidRPr="00C521C3">
        <w:rPr>
          <w:rFonts w:asciiTheme="majorBidi" w:hAnsiTheme="majorBidi" w:cstheme="majorBidi"/>
          <w:color w:val="000000" w:themeColor="text1"/>
        </w:rPr>
        <w:t xml:space="preserve">, higher odds of inflammation were associated with higher </w:t>
      </w:r>
      <w:hyperlink r:id="rId81" w:tooltip="Learn more about Carbohydrate Intake" w:history="1">
        <w:r w:rsidRPr="00C521C3">
          <w:rPr>
            <w:rStyle w:val="Hyperlink"/>
            <w:rFonts w:asciiTheme="majorBidi" w:hAnsiTheme="majorBidi" w:cstheme="majorBidi"/>
            <w:color w:val="000000" w:themeColor="text1"/>
            <w:u w:val="none"/>
          </w:rPr>
          <w:t>carbohydrate intake</w:t>
        </w:r>
      </w:hyperlink>
      <w:r w:rsidRPr="00C521C3">
        <w:rPr>
          <w:rFonts w:asciiTheme="majorBidi" w:hAnsiTheme="majorBidi" w:cstheme="majorBidi"/>
          <w:color w:val="000000" w:themeColor="text1"/>
        </w:rPr>
        <w:t xml:space="preserve"> in NASH patients </w:t>
      </w:r>
      <w:bookmarkStart w:id="17" w:name="bbb018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"bb0185"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[37]</w:t>
      </w:r>
      <w:r w:rsidRPr="00C521C3">
        <w:rPr>
          <w:rFonts w:asciiTheme="majorBidi" w:hAnsiTheme="majorBidi" w:cstheme="majorBidi"/>
          <w:color w:val="000000" w:themeColor="text1"/>
        </w:rPr>
        <w:fldChar w:fldCharType="end"/>
      </w:r>
      <w:bookmarkEnd w:id="17"/>
      <w:r w:rsidRPr="00C521C3">
        <w:rPr>
          <w:rFonts w:asciiTheme="majorBidi" w:hAnsiTheme="majorBidi" w:cstheme="majorBidi"/>
          <w:color w:val="000000" w:themeColor="text1"/>
        </w:rPr>
        <w:t>.</w:t>
      </w:r>
    </w:p>
    <w:p w:rsidR="0041591B" w:rsidRPr="00C521C3" w:rsidRDefault="0041591B" w:rsidP="0041591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Apart from </w:t>
      </w:r>
      <w:hyperlink r:id="rId82" w:tooltip="Learn more about Lifestyle Modification" w:history="1">
        <w:r w:rsidRPr="00C521C3">
          <w:rPr>
            <w:rStyle w:val="Hyperlink"/>
            <w:rFonts w:asciiTheme="majorBidi" w:hAnsiTheme="majorBidi" w:cstheme="majorBidi"/>
            <w:color w:val="000000" w:themeColor="text1"/>
            <w:u w:val="none"/>
          </w:rPr>
          <w:t>lifestyle modification</w:t>
        </w:r>
      </w:hyperlink>
      <w:r w:rsidRPr="00C521C3">
        <w:rPr>
          <w:rFonts w:asciiTheme="majorBidi" w:hAnsiTheme="majorBidi" w:cstheme="majorBidi"/>
          <w:color w:val="000000" w:themeColor="text1"/>
        </w:rPr>
        <w:t xml:space="preserve">, </w:t>
      </w:r>
      <w:hyperlink r:id="rId83" w:tooltip="Learn more about Hydroxymethylglutaryl Coenzyme A Reductase Inhibitor" w:history="1">
        <w:r w:rsidRPr="00C521C3">
          <w:rPr>
            <w:rStyle w:val="Hyperlink"/>
            <w:rFonts w:asciiTheme="majorBidi" w:hAnsiTheme="majorBidi" w:cstheme="majorBidi"/>
            <w:color w:val="000000" w:themeColor="text1"/>
            <w:u w:val="none"/>
          </w:rPr>
          <w:t>statins</w:t>
        </w:r>
      </w:hyperlink>
      <w:r w:rsidRPr="00C521C3">
        <w:rPr>
          <w:rFonts w:asciiTheme="majorBidi" w:hAnsiTheme="majorBidi" w:cstheme="majorBidi"/>
          <w:color w:val="000000" w:themeColor="text1"/>
        </w:rPr>
        <w:t xml:space="preserve"> (lipid-lowering drugs), </w:t>
      </w:r>
      <w:hyperlink r:id="rId84" w:tooltip="Learn more about Glitazone Derivative" w:history="1">
        <w:r w:rsidRPr="00C521C3">
          <w:rPr>
            <w:rStyle w:val="Hyperlink"/>
            <w:rFonts w:asciiTheme="majorBidi" w:hAnsiTheme="majorBidi" w:cstheme="majorBidi"/>
            <w:color w:val="000000" w:themeColor="text1"/>
            <w:u w:val="none"/>
          </w:rPr>
          <w:t>glitazones</w:t>
        </w:r>
      </w:hyperlink>
      <w:r w:rsidRPr="00C521C3">
        <w:rPr>
          <w:rFonts w:asciiTheme="majorBidi" w:hAnsiTheme="majorBidi" w:cstheme="majorBidi"/>
          <w:color w:val="000000" w:themeColor="text1"/>
        </w:rPr>
        <w:t xml:space="preserve"> (insulin sensitizers), antioxidants and </w:t>
      </w:r>
      <w:hyperlink r:id="rId85" w:tooltip="Learn more about Glycon" w:history="1">
        <w:r w:rsidRPr="00C521C3">
          <w:rPr>
            <w:rStyle w:val="Hyperlink"/>
            <w:rFonts w:asciiTheme="majorBidi" w:hAnsiTheme="majorBidi" w:cstheme="majorBidi"/>
            <w:color w:val="000000" w:themeColor="text1"/>
            <w:u w:val="none"/>
          </w:rPr>
          <w:t>metformin</w:t>
        </w:r>
      </w:hyperlink>
      <w:r w:rsidRPr="00C521C3">
        <w:rPr>
          <w:rFonts w:asciiTheme="majorBidi" w:hAnsiTheme="majorBidi" w:cstheme="majorBidi"/>
          <w:color w:val="000000" w:themeColor="text1"/>
        </w:rPr>
        <w:t xml:space="preserve"> have been used as therapies for NAFLD </w:t>
      </w:r>
      <w:bookmarkStart w:id="18" w:name="bbb019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"bb0190"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[38]</w:t>
      </w:r>
      <w:r w:rsidRPr="00C521C3">
        <w:rPr>
          <w:rFonts w:asciiTheme="majorBidi" w:hAnsiTheme="majorBidi" w:cstheme="majorBidi"/>
          <w:color w:val="000000" w:themeColor="text1"/>
        </w:rPr>
        <w:fldChar w:fldCharType="end"/>
      </w:r>
      <w:bookmarkEnd w:id="18"/>
      <w:r w:rsidRPr="00C521C3">
        <w:rPr>
          <w:rFonts w:asciiTheme="majorBidi" w:hAnsiTheme="majorBidi" w:cstheme="majorBidi"/>
          <w:color w:val="000000" w:themeColor="text1"/>
        </w:rPr>
        <w:t xml:space="preserve">, </w:t>
      </w:r>
      <w:bookmarkStart w:id="19" w:name="bbb019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"bb0195"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[39]</w:t>
      </w:r>
      <w:r w:rsidRPr="00C521C3">
        <w:rPr>
          <w:rFonts w:asciiTheme="majorBidi" w:hAnsiTheme="majorBidi" w:cstheme="majorBidi"/>
          <w:color w:val="000000" w:themeColor="text1"/>
        </w:rPr>
        <w:fldChar w:fldCharType="end"/>
      </w:r>
      <w:r w:rsidRPr="00C521C3">
        <w:rPr>
          <w:rFonts w:asciiTheme="majorBidi" w:hAnsiTheme="majorBidi" w:cstheme="majorBidi"/>
          <w:color w:val="000000" w:themeColor="text1"/>
        </w:rPr>
        <w:t xml:space="preserve">. Glitazones improve steatosis at the expense of an increase of weight, and the long-term safety of their utilization is still not clear. </w:t>
      </w:r>
      <w:hyperlink r:id="rId86" w:tooltip="Learn more about Randomized Clinical Trial" w:history="1">
        <w:r w:rsidRPr="00C521C3">
          <w:rPr>
            <w:rStyle w:val="Hyperlink"/>
            <w:rFonts w:asciiTheme="majorBidi" w:hAnsiTheme="majorBidi" w:cstheme="majorBidi"/>
            <w:color w:val="000000" w:themeColor="text1"/>
            <w:u w:val="none"/>
          </w:rPr>
          <w:t>Randomized clinical trials</w:t>
        </w:r>
      </w:hyperlink>
      <w:r w:rsidRPr="00C521C3">
        <w:rPr>
          <w:rFonts w:asciiTheme="majorBidi" w:hAnsiTheme="majorBidi" w:cstheme="majorBidi"/>
          <w:color w:val="000000" w:themeColor="text1"/>
        </w:rPr>
        <w:t xml:space="preserve"> with antioxidants (Vitamin E and N-acetylcysteine) have given conflicting results, suggesting that their effect may be different depending on age, dosage and lifestyle modifications </w:t>
      </w:r>
      <w:hyperlink r:id="rId87" w:anchor="bb0195" w:history="1">
        <w:r w:rsidRPr="00C521C3">
          <w:rPr>
            <w:rStyle w:val="Hyperlink"/>
            <w:rFonts w:asciiTheme="majorBidi" w:hAnsiTheme="majorBidi" w:cstheme="majorBidi"/>
            <w:color w:val="000000" w:themeColor="text1"/>
            <w:u w:val="none"/>
          </w:rPr>
          <w:t>[39]</w:t>
        </w:r>
      </w:hyperlink>
      <w:bookmarkEnd w:id="19"/>
      <w:r w:rsidRPr="00C521C3">
        <w:rPr>
          <w:rFonts w:asciiTheme="majorBidi" w:hAnsiTheme="majorBidi" w:cstheme="majorBidi"/>
          <w:color w:val="000000" w:themeColor="text1"/>
        </w:rPr>
        <w:t xml:space="preserve">. A few studies have tested metformin in nondiabetic patients but with inconsistent results </w:t>
      </w:r>
      <w:bookmarkStart w:id="20" w:name="bbb0200"/>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"bb0200"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[40]</w:t>
      </w:r>
      <w:r w:rsidRPr="00C521C3">
        <w:rPr>
          <w:rFonts w:asciiTheme="majorBidi" w:hAnsiTheme="majorBidi" w:cstheme="majorBidi"/>
          <w:color w:val="000000" w:themeColor="text1"/>
        </w:rPr>
        <w:fldChar w:fldCharType="end"/>
      </w:r>
      <w:bookmarkEnd w:id="20"/>
      <w:r w:rsidRPr="00C521C3">
        <w:rPr>
          <w:rFonts w:asciiTheme="majorBidi" w:hAnsiTheme="majorBidi" w:cstheme="majorBidi"/>
          <w:color w:val="000000" w:themeColor="text1"/>
        </w:rPr>
        <w:t xml:space="preserve">, </w:t>
      </w:r>
      <w:bookmarkStart w:id="21" w:name="bbb0205"/>
      <w:r w:rsidRPr="00C521C3">
        <w:rPr>
          <w:rFonts w:asciiTheme="majorBidi" w:hAnsiTheme="majorBidi" w:cstheme="majorBidi"/>
          <w:color w:val="000000" w:themeColor="text1"/>
        </w:rPr>
        <w:fldChar w:fldCharType="begin"/>
      </w:r>
      <w:r w:rsidRPr="00C521C3">
        <w:rPr>
          <w:rFonts w:asciiTheme="majorBidi" w:hAnsiTheme="majorBidi" w:cstheme="majorBidi"/>
          <w:color w:val="000000" w:themeColor="text1"/>
        </w:rPr>
        <w:instrText xml:space="preserve"> HYPERLINK "https://www.sciencedirect.com/science/article/pii/S0955286315002259" \l "bb0205" </w:instrText>
      </w:r>
      <w:r w:rsidRPr="00C521C3">
        <w:rPr>
          <w:rFonts w:asciiTheme="majorBidi" w:hAnsiTheme="majorBidi" w:cstheme="majorBidi"/>
          <w:color w:val="000000" w:themeColor="text1"/>
        </w:rPr>
        <w:fldChar w:fldCharType="separate"/>
      </w:r>
      <w:r w:rsidRPr="00C521C3">
        <w:rPr>
          <w:rStyle w:val="Hyperlink"/>
          <w:rFonts w:asciiTheme="majorBidi" w:hAnsiTheme="majorBidi" w:cstheme="majorBidi"/>
          <w:color w:val="000000" w:themeColor="text1"/>
          <w:u w:val="none"/>
        </w:rPr>
        <w:t>[41]</w:t>
      </w:r>
      <w:r w:rsidRPr="00C521C3">
        <w:rPr>
          <w:rFonts w:asciiTheme="majorBidi" w:hAnsiTheme="majorBidi" w:cstheme="majorBidi"/>
          <w:color w:val="000000" w:themeColor="text1"/>
        </w:rPr>
        <w:fldChar w:fldCharType="end"/>
      </w:r>
      <w:bookmarkEnd w:id="21"/>
      <w:r w:rsidRPr="00C521C3">
        <w:rPr>
          <w:rFonts w:asciiTheme="majorBidi" w:hAnsiTheme="majorBidi" w:cstheme="majorBidi"/>
          <w:color w:val="000000" w:themeColor="text1"/>
        </w:rPr>
        <w:t>.</w:t>
      </w:r>
    </w:p>
    <w:p w:rsidR="00784A1D" w:rsidRPr="00C521C3" w:rsidRDefault="0041591B" w:rsidP="00C521C3">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All these findings emphasize the difficulties to achieve success in NAFLD clinical setting and attract attention to the importance of alternative approaches for the prevention of liv</w:t>
      </w:r>
      <w:r w:rsidR="00C521C3" w:rsidRPr="00C521C3">
        <w:rPr>
          <w:rFonts w:asciiTheme="majorBidi" w:hAnsiTheme="majorBidi" w:cstheme="majorBidi"/>
          <w:color w:val="000000" w:themeColor="text1"/>
        </w:rPr>
        <w:t>er damage progression in NAFLD.</w:t>
      </w:r>
    </w:p>
    <w:p w:rsidR="0041591B" w:rsidRPr="00C521C3" w:rsidRDefault="00784A1D" w:rsidP="00C521C3">
      <w:pPr>
        <w:autoSpaceDE w:val="0"/>
        <w:autoSpaceDN w:val="0"/>
        <w:adjustRightInd w:val="0"/>
        <w:spacing w:after="0" w:line="240" w:lineRule="auto"/>
        <w:rPr>
          <w:rFonts w:asciiTheme="majorBidi" w:hAnsiTheme="majorBidi" w:cstheme="majorBidi"/>
          <w:b/>
          <w:bCs/>
          <w:color w:val="000000" w:themeColor="text1"/>
          <w:sz w:val="24"/>
          <w:szCs w:val="24"/>
        </w:rPr>
      </w:pPr>
      <w:r w:rsidRPr="00C521C3">
        <w:rPr>
          <w:rFonts w:asciiTheme="majorBidi" w:hAnsiTheme="majorBidi" w:cstheme="majorBidi"/>
          <w:color w:val="000000" w:themeColor="text1"/>
          <w:sz w:val="24"/>
          <w:szCs w:val="24"/>
        </w:rPr>
        <w:br/>
      </w:r>
      <w:r w:rsidR="0041591B" w:rsidRPr="00C521C3">
        <w:rPr>
          <w:rFonts w:asciiTheme="majorBidi" w:hAnsiTheme="majorBidi" w:cstheme="majorBidi"/>
          <w:b/>
          <w:bCs/>
          <w:color w:val="000000" w:themeColor="text1"/>
          <w:sz w:val="24"/>
          <w:szCs w:val="24"/>
        </w:rPr>
        <w:br/>
        <w:t>Results</w:t>
      </w:r>
    </w:p>
    <w:p w:rsidR="0041591B" w:rsidRPr="00C521C3" w:rsidRDefault="0041591B" w:rsidP="00A66D18">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lastRenderedPageBreak/>
        <w:t>Several changes in dietary intake have occurred in the past few years, including increased energy intake (24%), and increases in added sugars, flour and cereal products, fruit, added fats and total fat intake[</w:t>
      </w:r>
      <w:hyperlink r:id="rId88" w:anchor="B8" w:history="1">
        <w:r w:rsidR="00A66D18" w:rsidRPr="00C521C3">
          <w:rPr>
            <w:rStyle w:val="Hyperlink"/>
            <w:rFonts w:asciiTheme="majorBidi" w:hAnsiTheme="majorBidi" w:cstheme="majorBidi"/>
            <w:color w:val="000000" w:themeColor="text1"/>
            <w:u w:val="none"/>
          </w:rPr>
          <w:t>42</w:t>
        </w:r>
      </w:hyperlink>
      <w:r w:rsidRPr="00C521C3">
        <w:rPr>
          <w:rFonts w:asciiTheme="majorBidi" w:hAnsiTheme="majorBidi" w:cstheme="majorBidi"/>
          <w:color w:val="000000" w:themeColor="text1"/>
        </w:rPr>
        <w:t>]. Use of high fructose corn syrup (HFCS), which is used as sweetener in soft drinks, has increased to comprise 41% of total added sweeteners. Sucrose accounts for 45% of the remainder. These changes have certainly contributed to the increase in prevalence of NAFLD, by increasing obesity and by direct fructose ingestion from soft drinks[</w:t>
      </w:r>
      <w:hyperlink r:id="rId89" w:anchor="B9" w:history="1">
        <w:r w:rsidR="00A66D18" w:rsidRPr="00C521C3">
          <w:rPr>
            <w:rStyle w:val="Hyperlink"/>
            <w:rFonts w:asciiTheme="majorBidi" w:hAnsiTheme="majorBidi" w:cstheme="majorBidi"/>
            <w:color w:val="000000" w:themeColor="text1"/>
            <w:u w:val="none"/>
          </w:rPr>
          <w:t>43</w:t>
        </w:r>
      </w:hyperlink>
      <w:r w:rsidRPr="00C521C3">
        <w:rPr>
          <w:rFonts w:asciiTheme="majorBidi" w:hAnsiTheme="majorBidi" w:cstheme="majorBidi"/>
          <w:color w:val="000000" w:themeColor="text1"/>
        </w:rPr>
        <w:t>].</w:t>
      </w:r>
    </w:p>
    <w:p w:rsidR="0041591B" w:rsidRPr="00C521C3" w:rsidRDefault="0041591B" w:rsidP="009107CB">
      <w:pPr>
        <w:pStyle w:val="NormalWeb"/>
        <w:rPr>
          <w:rFonts w:asciiTheme="majorBidi" w:hAnsiTheme="majorBidi" w:cstheme="majorBidi"/>
          <w:color w:val="000000" w:themeColor="text1"/>
        </w:rPr>
      </w:pPr>
      <w:r w:rsidRPr="00C521C3">
        <w:rPr>
          <w:rFonts w:asciiTheme="majorBidi" w:hAnsiTheme="majorBidi" w:cstheme="majorBidi"/>
          <w:color w:val="000000" w:themeColor="text1"/>
        </w:rPr>
        <w:t xml:space="preserve">The review </w:t>
      </w:r>
      <w:r w:rsidRPr="009107CB">
        <w:rPr>
          <w:rFonts w:asciiTheme="majorBidi" w:hAnsiTheme="majorBidi" w:cstheme="majorBidi"/>
          <w:color w:val="000000" w:themeColor="text1"/>
        </w:rPr>
        <w:t>by Zelberg-Sagi</w:t>
      </w:r>
      <w:r w:rsidRPr="00C521C3">
        <w:rPr>
          <w:rFonts w:asciiTheme="majorBidi" w:hAnsiTheme="majorBidi" w:cstheme="majorBidi"/>
          <w:color w:val="000000" w:themeColor="text1"/>
        </w:rPr>
        <w:t xml:space="preserve"> describes elegantly the data regarding the association between dietary intake and NAFLD, and has focused on the dietary treatment of NAFLD beyond weight loss and physical activity. She has shown clearly that “good food may be a good medicine”. The dietary interventions that seem to be beneficial in NAFLD are: nutritional counseling with a multidisciplinary team including a dietitian, psychologist, and physical activity supervisor (behavior, educational, and motivational therapy); aerobic exercise (walking 30 min daily, or &gt; 5 km/d three times weekly); restriction of calorie intake to &lt; 30 kcal/kg per day, with a balanced diet that includes low levels of saturated and </w:t>
      </w:r>
      <w:r w:rsidRPr="00C521C3">
        <w:rPr>
          <w:rStyle w:val="Emphasis"/>
          <w:rFonts w:asciiTheme="majorBidi" w:hAnsiTheme="majorBidi" w:cstheme="majorBidi"/>
          <w:color w:val="000000" w:themeColor="text1"/>
        </w:rPr>
        <w:t>trans</w:t>
      </w:r>
      <w:r w:rsidRPr="00C521C3">
        <w:rPr>
          <w:rFonts w:asciiTheme="majorBidi" w:hAnsiTheme="majorBidi" w:cstheme="majorBidi"/>
          <w:color w:val="000000" w:themeColor="text1"/>
        </w:rPr>
        <w:t xml:space="preserve"> fats and simple sugars; gradual weight loss (10% within 6 mo); avoid rapid weight loss (&gt; 1.6 kg/wk) as this can increase the progression of NAFLD; management of accompanying conditions such as diabetes, obesity, and metabolic syndrome; avoid foods with HFCS (soft drink), fast food (trans fats, and reduce red and processed meats), and genetically modified crops; morbid obese patients [body mass index (BMI) &gt; 40 or BMI &gt; 35 with comorbidity] may be considered for referral for bariatric surgery; use of vitamin E (400-800 IU/d), vitamin D (1000 IU/d), omega-3 fatty acids (1 g/d fish oil), and omega-9 fatty acids (olive oil) is recommended; and trial of orlistat in patients who fail diet therapy. Use of metformin/pioglitazone if insulin resistance index (HOMA) &gt; 2, with or without ursodeoxycholic acid (15 mg/kg per day)</w:t>
      </w:r>
      <w:r w:rsidR="009107CB" w:rsidRPr="009107CB">
        <w:rPr>
          <w:rFonts w:asciiTheme="majorBidi" w:hAnsiTheme="majorBidi" w:cstheme="majorBidi"/>
          <w:color w:val="000000" w:themeColor="text1"/>
        </w:rPr>
        <w:t xml:space="preserve"> </w:t>
      </w:r>
      <w:r w:rsidR="009107CB" w:rsidRPr="00C521C3">
        <w:rPr>
          <w:rFonts w:asciiTheme="majorBidi" w:hAnsiTheme="majorBidi" w:cstheme="majorBidi"/>
          <w:color w:val="000000" w:themeColor="text1"/>
        </w:rPr>
        <w:t>[</w:t>
      </w:r>
      <w:hyperlink r:id="rId90" w:anchor="B2" w:history="1">
        <w:r w:rsidR="009107CB" w:rsidRPr="00C521C3">
          <w:rPr>
            <w:rStyle w:val="Hyperlink"/>
            <w:rFonts w:asciiTheme="majorBidi" w:hAnsiTheme="majorBidi" w:cstheme="majorBidi"/>
            <w:color w:val="000000" w:themeColor="text1"/>
            <w:u w:val="none"/>
          </w:rPr>
          <w:t>4</w:t>
        </w:r>
        <w:r w:rsidR="009107CB">
          <w:rPr>
            <w:rStyle w:val="Hyperlink"/>
            <w:rFonts w:asciiTheme="majorBidi" w:hAnsiTheme="majorBidi" w:cstheme="majorBidi"/>
            <w:color w:val="000000" w:themeColor="text1"/>
            <w:u w:val="none"/>
          </w:rPr>
          <w:t>4</w:t>
        </w:r>
      </w:hyperlink>
      <w:r w:rsidR="009107CB" w:rsidRPr="00C521C3">
        <w:rPr>
          <w:rFonts w:asciiTheme="majorBidi" w:hAnsiTheme="majorBidi" w:cstheme="majorBidi"/>
          <w:color w:val="000000" w:themeColor="text1"/>
        </w:rPr>
        <w:t>].</w:t>
      </w:r>
    </w:p>
    <w:p w:rsidR="00541BEF" w:rsidRPr="00C521C3" w:rsidRDefault="0041591B" w:rsidP="00007DBD">
      <w:pPr>
        <w:pStyle w:val="p"/>
        <w:rPr>
          <w:rFonts w:asciiTheme="majorBidi" w:hAnsiTheme="majorBidi" w:cstheme="majorBidi"/>
          <w:color w:val="000000" w:themeColor="text1"/>
        </w:rPr>
      </w:pPr>
      <w:r w:rsidRPr="00C521C3">
        <w:rPr>
          <w:rFonts w:asciiTheme="majorBidi" w:hAnsiTheme="majorBidi" w:cstheme="majorBidi"/>
          <w:color w:val="000000" w:themeColor="text1"/>
        </w:rPr>
        <w:t>However, whether any type of diet including weight loss diets can prevent steatohepatitis or fibrosis is uncertain because data on histology before and after dietary intervention are lacking. It is also uncertain whether bariatric surgery can prevent fibrosis and decrease the metabolic risk factors for CAD. It is important to establish the effects of diet composition on the natural course of NAFLD. Such data are not available at present. Of the dietary constituents, combination of vitamin D, vitamin E, and omega-3 fatty acids shows promise for the treatment of NAFLD</w:t>
      </w:r>
      <w:r w:rsidR="009107CB" w:rsidRPr="00C521C3">
        <w:rPr>
          <w:rFonts w:asciiTheme="majorBidi" w:hAnsiTheme="majorBidi" w:cstheme="majorBidi"/>
          <w:color w:val="000000" w:themeColor="text1"/>
        </w:rPr>
        <w:t>[</w:t>
      </w:r>
      <w:hyperlink r:id="rId91" w:anchor="B7" w:history="1">
        <w:r w:rsidR="009107CB" w:rsidRPr="00C521C3">
          <w:rPr>
            <w:rStyle w:val="Hyperlink"/>
            <w:rFonts w:asciiTheme="majorBidi" w:hAnsiTheme="majorBidi" w:cstheme="majorBidi"/>
            <w:color w:val="000000" w:themeColor="text1"/>
            <w:u w:val="none"/>
          </w:rPr>
          <w:t>5</w:t>
        </w:r>
        <w:r w:rsidR="009107CB">
          <w:rPr>
            <w:rStyle w:val="Hyperlink"/>
            <w:rFonts w:asciiTheme="majorBidi" w:hAnsiTheme="majorBidi" w:cstheme="majorBidi"/>
            <w:color w:val="000000" w:themeColor="text1"/>
            <w:u w:val="none"/>
          </w:rPr>
          <w:t>1</w:t>
        </w:r>
      </w:hyperlink>
      <w:r w:rsidR="009107CB" w:rsidRPr="00C521C3">
        <w:rPr>
          <w:rFonts w:asciiTheme="majorBidi" w:hAnsiTheme="majorBidi" w:cstheme="majorBidi"/>
          <w:color w:val="000000" w:themeColor="text1"/>
        </w:rPr>
        <w:t>].</w:t>
      </w:r>
      <w:r w:rsidRPr="00C521C3">
        <w:rPr>
          <w:rFonts w:asciiTheme="majorBidi" w:hAnsiTheme="majorBidi" w:cstheme="majorBidi"/>
          <w:b/>
          <w:bCs/>
          <w:color w:val="000000" w:themeColor="text1"/>
        </w:rPr>
        <w:br/>
      </w:r>
      <w:r w:rsidRPr="00C521C3">
        <w:rPr>
          <w:rFonts w:asciiTheme="majorBidi" w:hAnsiTheme="majorBidi" w:cstheme="majorBidi"/>
          <w:b/>
          <w:bCs/>
          <w:color w:val="000000" w:themeColor="text1"/>
        </w:rPr>
        <w:br/>
      </w:r>
      <w:r w:rsidRPr="00C521C3">
        <w:rPr>
          <w:rFonts w:asciiTheme="majorBidi" w:hAnsiTheme="majorBidi" w:cstheme="majorBidi"/>
          <w:b/>
          <w:bCs/>
          <w:color w:val="000000" w:themeColor="text1"/>
        </w:rPr>
        <w:br/>
        <w:t>Conclusion</w:t>
      </w:r>
      <w:r w:rsidRPr="00C521C3">
        <w:rPr>
          <w:rFonts w:asciiTheme="majorBidi" w:hAnsiTheme="majorBidi" w:cstheme="majorBidi"/>
          <w:color w:val="000000" w:themeColor="text1"/>
        </w:rPr>
        <w:t xml:space="preserve"> </w:t>
      </w:r>
      <w:r w:rsidRPr="00C521C3">
        <w:rPr>
          <w:rFonts w:asciiTheme="majorBidi" w:hAnsiTheme="majorBidi" w:cstheme="majorBidi"/>
          <w:color w:val="000000" w:themeColor="text1"/>
        </w:rPr>
        <w:br/>
      </w:r>
      <w:r w:rsidRPr="00C521C3">
        <w:rPr>
          <w:rFonts w:asciiTheme="majorBidi" w:hAnsiTheme="majorBidi" w:cstheme="majorBidi"/>
          <w:color w:val="000000" w:themeColor="text1"/>
        </w:rPr>
        <w:br/>
      </w:r>
      <w:r w:rsidRPr="00C521C3">
        <w:rPr>
          <w:rFonts w:asciiTheme="majorBidi" w:hAnsiTheme="majorBidi" w:cstheme="majorBidi"/>
          <w:color w:val="000000" w:themeColor="text1"/>
        </w:rPr>
        <w:br/>
      </w:r>
      <w:r w:rsidR="00784A1D" w:rsidRPr="00C521C3">
        <w:rPr>
          <w:rFonts w:asciiTheme="majorBidi" w:hAnsiTheme="majorBidi" w:cstheme="majorBidi"/>
          <w:color w:val="000000" w:themeColor="text1"/>
        </w:rPr>
        <w:t>Fatty liver disease in humans is an insulin-resistant condition and the liver over-produces glucose and triglycerides due to impaired insulin action[</w:t>
      </w:r>
      <w:hyperlink r:id="rId92" w:anchor="B2" w:history="1">
        <w:r w:rsidR="00D7485F" w:rsidRPr="00C521C3">
          <w:rPr>
            <w:rStyle w:val="Hyperlink"/>
            <w:rFonts w:asciiTheme="majorBidi" w:hAnsiTheme="majorBidi" w:cstheme="majorBidi"/>
            <w:color w:val="000000" w:themeColor="text1"/>
            <w:u w:val="none"/>
          </w:rPr>
          <w:t>45</w:t>
        </w:r>
      </w:hyperlink>
      <w:r w:rsidR="00784A1D" w:rsidRPr="00C521C3">
        <w:rPr>
          <w:rFonts w:asciiTheme="majorBidi" w:hAnsiTheme="majorBidi" w:cstheme="majorBidi"/>
          <w:color w:val="000000" w:themeColor="text1"/>
        </w:rPr>
        <w:t>]. Fatty liver is an independent predictor of diabetes and cardiovascular disease[</w:t>
      </w:r>
      <w:hyperlink r:id="rId93" w:anchor="B3" w:history="1">
        <w:r w:rsidR="00D7485F" w:rsidRPr="00C521C3">
          <w:rPr>
            <w:rStyle w:val="Hyperlink"/>
            <w:rFonts w:asciiTheme="majorBidi" w:hAnsiTheme="majorBidi" w:cstheme="majorBidi"/>
            <w:color w:val="000000" w:themeColor="text1"/>
            <w:u w:val="none"/>
          </w:rPr>
          <w:t>46</w:t>
        </w:r>
      </w:hyperlink>
      <w:r w:rsidR="00784A1D" w:rsidRPr="00C521C3">
        <w:rPr>
          <w:rFonts w:asciiTheme="majorBidi" w:hAnsiTheme="majorBidi" w:cstheme="majorBidi"/>
          <w:color w:val="000000" w:themeColor="text1"/>
        </w:rPr>
        <w:t xml:space="preserve">]. There are three major sources for increased liver fat accumulation: excessive delivery of free fatty acids from lipolysis of superficial and visceral fat depots (60%), increased </w:t>
      </w:r>
      <w:r w:rsidR="00784A1D" w:rsidRPr="00C521C3">
        <w:rPr>
          <w:rStyle w:val="Emphasis"/>
          <w:rFonts w:asciiTheme="majorBidi" w:hAnsiTheme="majorBidi" w:cstheme="majorBidi"/>
          <w:color w:val="000000" w:themeColor="text1"/>
        </w:rPr>
        <w:t>de novo</w:t>
      </w:r>
      <w:r w:rsidR="00784A1D" w:rsidRPr="00C521C3">
        <w:rPr>
          <w:rFonts w:asciiTheme="majorBidi" w:hAnsiTheme="majorBidi" w:cstheme="majorBidi"/>
          <w:color w:val="000000" w:themeColor="text1"/>
        </w:rPr>
        <w:t xml:space="preserve"> hepatic lipogenesis (30%), and increased nutritional intake (10%)[</w:t>
      </w:r>
      <w:hyperlink r:id="rId94" w:anchor="B4" w:history="1">
        <w:r w:rsidR="00D7485F" w:rsidRPr="00C521C3">
          <w:rPr>
            <w:rStyle w:val="Hyperlink"/>
            <w:rFonts w:asciiTheme="majorBidi" w:hAnsiTheme="majorBidi" w:cstheme="majorBidi"/>
            <w:color w:val="000000" w:themeColor="text1"/>
            <w:u w:val="none"/>
          </w:rPr>
          <w:t>47</w:t>
        </w:r>
      </w:hyperlink>
      <w:r w:rsidR="00784A1D" w:rsidRPr="00C521C3">
        <w:rPr>
          <w:rFonts w:asciiTheme="majorBidi" w:hAnsiTheme="majorBidi" w:cstheme="majorBidi"/>
          <w:color w:val="000000" w:themeColor="text1"/>
        </w:rPr>
        <w:t xml:space="preserve">]. Recently, an increase in dietary cholesterol has been suggested to induce </w:t>
      </w:r>
      <w:r w:rsidR="00784A1D" w:rsidRPr="00C521C3">
        <w:rPr>
          <w:rStyle w:val="Emphasis"/>
          <w:rFonts w:asciiTheme="majorBidi" w:hAnsiTheme="majorBidi" w:cstheme="majorBidi"/>
          <w:color w:val="000000" w:themeColor="text1"/>
        </w:rPr>
        <w:t>de novo</w:t>
      </w:r>
      <w:r w:rsidR="00784A1D" w:rsidRPr="00C521C3">
        <w:rPr>
          <w:rFonts w:asciiTheme="majorBidi" w:hAnsiTheme="majorBidi" w:cstheme="majorBidi"/>
          <w:color w:val="000000" w:themeColor="text1"/>
        </w:rPr>
        <w:t xml:space="preserve"> fatty acid synthesis in hepatocytes </w:t>
      </w:r>
      <w:r w:rsidR="00784A1D" w:rsidRPr="00C521C3">
        <w:rPr>
          <w:rStyle w:val="Emphasis"/>
          <w:rFonts w:asciiTheme="majorBidi" w:hAnsiTheme="majorBidi" w:cstheme="majorBidi"/>
          <w:color w:val="000000" w:themeColor="text1"/>
        </w:rPr>
        <w:t>via</w:t>
      </w:r>
      <w:r w:rsidR="00784A1D" w:rsidRPr="00C521C3">
        <w:rPr>
          <w:rFonts w:asciiTheme="majorBidi" w:hAnsiTheme="majorBidi" w:cstheme="majorBidi"/>
          <w:color w:val="000000" w:themeColor="text1"/>
        </w:rPr>
        <w:t xml:space="preserve"> the LXRa-SREBP-1c pathway[</w:t>
      </w:r>
      <w:hyperlink r:id="rId95" w:anchor="B5" w:history="1">
        <w:r w:rsidR="00D7485F" w:rsidRPr="00C521C3">
          <w:rPr>
            <w:rStyle w:val="Hyperlink"/>
            <w:rFonts w:asciiTheme="majorBidi" w:hAnsiTheme="majorBidi" w:cstheme="majorBidi"/>
            <w:color w:val="000000" w:themeColor="text1"/>
            <w:u w:val="none"/>
          </w:rPr>
          <w:t>48</w:t>
        </w:r>
      </w:hyperlink>
      <w:r w:rsidR="00784A1D" w:rsidRPr="00C521C3">
        <w:rPr>
          <w:rFonts w:asciiTheme="majorBidi" w:hAnsiTheme="majorBidi" w:cstheme="majorBidi"/>
          <w:color w:val="000000" w:themeColor="text1"/>
        </w:rPr>
        <w:t>]. The most common cause of death in patients with non-alcoholic fatty liver disease (NAFLD) is coronary artery disease (CAD), and not chronic liver disease[</w:t>
      </w:r>
      <w:hyperlink r:id="rId96" w:anchor="B6" w:history="1">
        <w:r w:rsidR="00D7485F" w:rsidRPr="00C521C3">
          <w:rPr>
            <w:rStyle w:val="Hyperlink"/>
            <w:rFonts w:asciiTheme="majorBidi" w:hAnsiTheme="majorBidi" w:cstheme="majorBidi"/>
            <w:color w:val="000000" w:themeColor="text1"/>
            <w:u w:val="none"/>
          </w:rPr>
          <w:t>49</w:t>
        </w:r>
      </w:hyperlink>
      <w:r w:rsidR="00784A1D" w:rsidRPr="00C521C3">
        <w:rPr>
          <w:rFonts w:asciiTheme="majorBidi" w:hAnsiTheme="majorBidi" w:cstheme="majorBidi"/>
          <w:color w:val="000000" w:themeColor="text1"/>
        </w:rPr>
        <w:t>]. Fatty liver increases cardiovascular risk by classical (dyslipidemia, hypertension or diabetes) and by less conventional mechanisms. New emerging risk factors include leptin, adiponectin, pro-</w:t>
      </w:r>
      <w:r w:rsidR="00784A1D" w:rsidRPr="00C521C3">
        <w:rPr>
          <w:rFonts w:asciiTheme="majorBidi" w:hAnsiTheme="majorBidi" w:cstheme="majorBidi"/>
          <w:color w:val="000000" w:themeColor="text1"/>
        </w:rPr>
        <w:lastRenderedPageBreak/>
        <w:t>inflammatory cytokines such as interleukin-6, C-reactive protein and plasminogen activator inhibitor-1, which together lead to increased oxidative stress, lipotoxicity and endothelial dysfunction, which finally promote CAD[</w:t>
      </w:r>
      <w:hyperlink r:id="rId97" w:anchor="B7" w:history="1">
        <w:r w:rsidR="00D7485F" w:rsidRPr="00C521C3">
          <w:rPr>
            <w:rStyle w:val="Hyperlink"/>
            <w:rFonts w:asciiTheme="majorBidi" w:hAnsiTheme="majorBidi" w:cstheme="majorBidi"/>
            <w:color w:val="000000" w:themeColor="text1"/>
            <w:u w:val="none"/>
          </w:rPr>
          <w:t>50</w:t>
        </w:r>
      </w:hyperlink>
      <w:r w:rsidR="00784A1D" w:rsidRPr="00C521C3">
        <w:rPr>
          <w:rFonts w:asciiTheme="majorBidi" w:hAnsiTheme="majorBidi" w:cstheme="majorBidi"/>
          <w:color w:val="000000" w:themeColor="text1"/>
        </w:rPr>
        <w:t>]. When classical risk factors are superimposed on fatty liver accumulation, they may further increase the new metabolic risk factors, thus exacerbating CAD</w:t>
      </w:r>
      <w:r w:rsidR="009107CB" w:rsidRPr="00C521C3">
        <w:rPr>
          <w:rFonts w:asciiTheme="majorBidi" w:hAnsiTheme="majorBidi" w:cstheme="majorBidi"/>
          <w:color w:val="000000" w:themeColor="text1"/>
        </w:rPr>
        <w:t>[</w:t>
      </w:r>
      <w:hyperlink r:id="rId98" w:anchor="B7" w:history="1">
        <w:r w:rsidR="009107CB" w:rsidRPr="00C521C3">
          <w:rPr>
            <w:rStyle w:val="Hyperlink"/>
            <w:rFonts w:asciiTheme="majorBidi" w:hAnsiTheme="majorBidi" w:cstheme="majorBidi"/>
            <w:color w:val="000000" w:themeColor="text1"/>
            <w:u w:val="none"/>
          </w:rPr>
          <w:t>5</w:t>
        </w:r>
        <w:r w:rsidR="009107CB">
          <w:rPr>
            <w:rStyle w:val="Hyperlink"/>
            <w:rFonts w:asciiTheme="majorBidi" w:hAnsiTheme="majorBidi" w:cstheme="majorBidi"/>
            <w:color w:val="000000" w:themeColor="text1"/>
            <w:u w:val="none"/>
          </w:rPr>
          <w:t>1</w:t>
        </w:r>
      </w:hyperlink>
      <w:r w:rsidR="009107CB" w:rsidRPr="00C521C3">
        <w:rPr>
          <w:rFonts w:asciiTheme="majorBidi" w:hAnsiTheme="majorBidi" w:cstheme="majorBidi"/>
          <w:color w:val="000000" w:themeColor="text1"/>
        </w:rPr>
        <w:t>].</w:t>
      </w:r>
      <w:r w:rsidR="00E070BD" w:rsidRPr="00C521C3">
        <w:rPr>
          <w:rFonts w:asciiTheme="majorBidi" w:hAnsiTheme="majorBidi" w:cstheme="majorBidi"/>
          <w:color w:val="000000" w:themeColor="text1"/>
        </w:rPr>
        <w:br/>
      </w:r>
      <w:r w:rsidR="00C521C3" w:rsidRPr="00C521C3">
        <w:rPr>
          <w:rFonts w:asciiTheme="majorBidi" w:hAnsiTheme="majorBidi" w:cstheme="majorBidi"/>
          <w:color w:val="000000" w:themeColor="text1"/>
        </w:rPr>
        <w:br/>
      </w:r>
      <w:r w:rsidR="00E070BD" w:rsidRPr="00C521C3">
        <w:rPr>
          <w:rFonts w:asciiTheme="majorBidi" w:hAnsiTheme="majorBidi" w:cstheme="majorBidi"/>
          <w:color w:val="000000" w:themeColor="text1"/>
        </w:rPr>
        <w:br/>
      </w:r>
      <w:r w:rsidR="00E070BD" w:rsidRPr="00C521C3">
        <w:rPr>
          <w:rFonts w:asciiTheme="majorBidi" w:hAnsiTheme="majorBidi" w:cstheme="majorBidi"/>
          <w:color w:val="000000" w:themeColor="text1"/>
        </w:rPr>
        <w:br/>
      </w:r>
      <w:r w:rsidR="00E070BD" w:rsidRPr="00C521C3">
        <w:rPr>
          <w:rFonts w:asciiTheme="majorBidi" w:hAnsiTheme="majorBidi" w:cstheme="majorBidi"/>
          <w:b/>
          <w:bCs/>
          <w:color w:val="000000" w:themeColor="text1"/>
        </w:rPr>
        <w:t>References</w:t>
      </w:r>
      <w:r w:rsidR="00E070BD" w:rsidRPr="00C521C3">
        <w:rPr>
          <w:rFonts w:asciiTheme="majorBidi" w:hAnsiTheme="majorBidi" w:cstheme="majorBidi"/>
          <w:color w:val="000000" w:themeColor="text1"/>
        </w:rPr>
        <w:t xml:space="preserve"> </w:t>
      </w:r>
      <w:r w:rsidR="00541BEF" w:rsidRPr="00C521C3">
        <w:rPr>
          <w:rFonts w:asciiTheme="majorBidi" w:hAnsiTheme="majorBidi" w:cstheme="majorBidi"/>
          <w:color w:val="000000" w:themeColor="text1"/>
        </w:rPr>
        <w:br/>
      </w:r>
      <w:r w:rsidR="00541BEF" w:rsidRPr="00C521C3">
        <w:rPr>
          <w:rFonts w:asciiTheme="majorBidi" w:hAnsiTheme="majorBidi" w:cstheme="majorBidi"/>
          <w:color w:val="000000" w:themeColor="text1"/>
        </w:rPr>
        <w:br/>
      </w:r>
      <w:r w:rsidR="00541BEF" w:rsidRPr="00C521C3">
        <w:rPr>
          <w:rFonts w:asciiTheme="majorBidi" w:hAnsiTheme="majorBidi" w:cstheme="majorBidi"/>
          <w:color w:val="000000" w:themeColor="text1"/>
        </w:rPr>
        <w:t>[1] Bedogni G, Bellentani S. Fatty liver: how frequent is it and why? Ann Hepatol. 2004;3:63–65. [</w:t>
      </w:r>
      <w:hyperlink r:id="rId99" w:tgtFrame="pmc_ext" w:history="1">
        <w:r w:rsidR="00541BEF" w:rsidRPr="00C521C3">
          <w:rPr>
            <w:rFonts w:asciiTheme="majorBidi" w:hAnsiTheme="majorBidi" w:cstheme="majorBidi"/>
            <w:color w:val="000000" w:themeColor="text1"/>
          </w:rPr>
          <w:t>PubMed</w:t>
        </w:r>
      </w:hyperlink>
      <w:r w:rsidR="00541BEF" w:rsidRPr="00C521C3">
        <w:rPr>
          <w:rFonts w:asciiTheme="majorBidi" w:hAnsiTheme="majorBidi" w:cstheme="majorBidi"/>
          <w:color w:val="000000" w:themeColor="text1"/>
        </w:rPr>
        <w:t>]</w:t>
      </w:r>
      <w:r w:rsidR="00007DBD">
        <w:rPr>
          <w:rFonts w:asciiTheme="majorBidi" w:hAnsiTheme="majorBidi" w:cstheme="majorBidi"/>
          <w:color w:val="000000" w:themeColor="text1"/>
        </w:rPr>
        <w:t>.</w:t>
      </w:r>
      <w:r w:rsidR="00007DBD">
        <w:rPr>
          <w:rFonts w:asciiTheme="majorBidi" w:hAnsiTheme="majorBidi" w:cstheme="majorBidi"/>
          <w:color w:val="000000" w:themeColor="text1"/>
        </w:rPr>
        <w:br/>
      </w:r>
      <w:r w:rsidR="00007DBD">
        <w:rPr>
          <w:rFonts w:asciiTheme="majorBidi" w:hAnsiTheme="majorBidi" w:cstheme="majorBidi"/>
          <w:color w:val="000000" w:themeColor="text1"/>
        </w:rPr>
        <w:br/>
      </w:r>
      <w:r w:rsidR="00541BEF" w:rsidRPr="00C521C3">
        <w:rPr>
          <w:rFonts w:asciiTheme="majorBidi" w:hAnsiTheme="majorBidi" w:cstheme="majorBidi"/>
          <w:color w:val="000000" w:themeColor="text1"/>
        </w:rPr>
        <w:t>[2] World Gastroenterology Organisation Global Guidelines. Nonalcoholic Fatty Liver Disease and Nonalcoholic Steatohepatitis. 2012 [</w:t>
      </w:r>
      <w:hyperlink r:id="rId100" w:tgtFrame="pmc_ext" w:history="1">
        <w:r w:rsidR="00541BEF" w:rsidRPr="00C521C3">
          <w:rPr>
            <w:rFonts w:asciiTheme="majorBidi" w:hAnsiTheme="majorBidi" w:cstheme="majorBidi"/>
            <w:color w:val="000000" w:themeColor="text1"/>
          </w:rPr>
          <w:t>PubMed</w:t>
        </w:r>
      </w:hyperlink>
      <w:r w:rsidR="00541BEF" w:rsidRPr="00C521C3">
        <w:rPr>
          <w:rFonts w:asciiTheme="majorBidi" w:hAnsiTheme="majorBidi" w:cstheme="majorBidi"/>
          <w:color w:val="000000" w:themeColor="text1"/>
        </w:rPr>
        <w:t>]</w:t>
      </w:r>
      <w:r w:rsidR="00007DBD">
        <w:rPr>
          <w:rFonts w:asciiTheme="majorBidi" w:hAnsiTheme="majorBidi" w:cstheme="majorBidi"/>
          <w:color w:val="000000" w:themeColor="text1"/>
        </w:rPr>
        <w:t>.</w:t>
      </w:r>
    </w:p>
    <w:p w:rsidR="00541BEF" w:rsidRPr="00C521C3" w:rsidRDefault="00541BEF" w:rsidP="0091755A">
      <w:pPr>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3</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Machado M, Marques-Vidal P, Cortez-Pinto H. Hepatic histology in obese patients undergoing bariatric surgery. J Hepatol. 2006;45:600–606. [</w:t>
      </w:r>
      <w:hyperlink r:id="rId101"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r w:rsidRPr="00C521C3">
        <w:rPr>
          <w:rFonts w:asciiTheme="majorBidi" w:eastAsia="Times New Roman" w:hAnsiTheme="majorBidi" w:cstheme="majorBidi"/>
          <w:color w:val="000000" w:themeColor="text1"/>
          <w:sz w:val="24"/>
          <w:szCs w:val="24"/>
        </w:rPr>
        <w:br/>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4</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Nutrition Diagnosis: A Critical Step in the Nutrition Care Process. American Dietetic Association. Chicago, IL, USA: American Dietetic Association; 2006. </w:t>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5</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McCarthy EM, Rinella ME. The role of diet and nutrient composition in nonalcoholic fatty liver disease. J Acad Nutr Diet. 2012;112:401–409. [</w:t>
      </w:r>
      <w:hyperlink r:id="rId102" w:tgtFrame="pmc_ext" w:history="1">
        <w:r w:rsidRPr="00C521C3">
          <w:rPr>
            <w:rFonts w:asciiTheme="majorBidi" w:eastAsia="Times New Roman" w:hAnsiTheme="majorBidi" w:cstheme="majorBidi"/>
            <w:color w:val="000000" w:themeColor="text1"/>
            <w:sz w:val="24"/>
            <w:szCs w:val="24"/>
          </w:rPr>
          <w:t>PubMed</w:t>
        </w:r>
      </w:hyperlink>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6</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Ueno T, Sugawara H, Sujaku K, Hashimoto O, Tsuji R, Tamaki S, Torimura T, Inuzuka S, Sata M, Tanikawa K. Therapeutic effects of restricted diet and exercise in obese patients with fatty liver. J Hepatol. 1997;27(1):103–107. [</w:t>
      </w:r>
      <w:hyperlink r:id="rId103"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7</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Kugelmas M, Hill DB, Vivian B, Marsano L, McClain CJ. Cytokines and NASH: a pilot study of the effects of lifestyle modification and vitamin E. Hepatology. 2003;38:413–419. [</w:t>
      </w:r>
      <w:hyperlink r:id="rId104"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8</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Schäfer S, Kantartzis K, Machann J, Venter C, Niess A, Schick F, Machicao F, Häring HU, Fritsche A, Stefan N. Lifestyle intervention in individuals with normal versus impaired glucose tolerance. Eur J Clin Invest. 2007;37(7):535–543. [</w:t>
      </w:r>
      <w:hyperlink r:id="rId105"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9</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York LW, Puthalapattu S, Wu GY. Nonalcocholic fatty liver disease and low-carbohydrate diets. Annu Rev Nutr. 2009;29:365–379. [</w:t>
      </w:r>
      <w:hyperlink r:id="rId106"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541BEF"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10</w:t>
      </w:r>
      <w:r w:rsidRPr="00C521C3">
        <w:rPr>
          <w:rFonts w:asciiTheme="majorBidi" w:hAnsiTheme="majorBidi" w:cstheme="majorBidi"/>
          <w:color w:val="000000" w:themeColor="text1"/>
          <w:sz w:val="24"/>
          <w:szCs w:val="24"/>
        </w:rPr>
        <w:t>]</w:t>
      </w:r>
      <w:r w:rsidRPr="00C521C3">
        <w:rPr>
          <w:rFonts w:asciiTheme="majorBidi" w:eastAsia="Times New Roman" w:hAnsiTheme="majorBidi" w:cstheme="majorBidi"/>
          <w:color w:val="000000" w:themeColor="text1"/>
          <w:sz w:val="24"/>
          <w:szCs w:val="24"/>
        </w:rPr>
        <w:t xml:space="preserve"> Bellentani S, Grave RD, Suppini A. Behavior therapy for nonalcoholic fatty liver disease: the need for a multidisciplinary approach. Hepatology. 2008;47:746–754. [</w:t>
      </w:r>
      <w:hyperlink r:id="rId107" w:tgtFrame="pmc_ext" w:history="1">
        <w:r w:rsidRPr="00C521C3">
          <w:rPr>
            <w:rFonts w:asciiTheme="majorBidi" w:eastAsia="Times New Roman" w:hAnsiTheme="majorBidi" w:cstheme="majorBidi"/>
            <w:color w:val="000000" w:themeColor="text1"/>
            <w:sz w:val="24"/>
            <w:szCs w:val="24"/>
          </w:rPr>
          <w:t>PubMed</w:t>
        </w:r>
      </w:hyperlink>
      <w:r w:rsidRPr="00C521C3">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t>.</w:t>
      </w:r>
      <w:r w:rsidR="00007DBD">
        <w:rPr>
          <w:rFonts w:asciiTheme="majorBidi" w:eastAsia="Times New Roman" w:hAnsiTheme="majorBidi" w:cstheme="majorBidi"/>
          <w:color w:val="000000" w:themeColor="text1"/>
          <w:sz w:val="24"/>
          <w:szCs w:val="24"/>
        </w:rPr>
        <w:br/>
      </w:r>
    </w:p>
    <w:p w:rsidR="00541BEF" w:rsidRPr="00C521C3" w:rsidRDefault="00007DBD" w:rsidP="0091755A">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w:t>
      </w:r>
      <w:r w:rsidR="00541BEF" w:rsidRPr="00C521C3">
        <w:rPr>
          <w:rFonts w:asciiTheme="majorBidi" w:eastAsia="Times New Roman" w:hAnsiTheme="majorBidi" w:cstheme="majorBidi"/>
          <w:color w:val="000000" w:themeColor="text1"/>
          <w:sz w:val="24"/>
          <w:szCs w:val="24"/>
        </w:rPr>
        <w:t>11</w:t>
      </w:r>
      <w:r w:rsidR="00541BEF" w:rsidRPr="00C521C3">
        <w:rPr>
          <w:rFonts w:asciiTheme="majorBidi" w:hAnsiTheme="majorBidi" w:cstheme="majorBidi"/>
          <w:color w:val="000000" w:themeColor="text1"/>
          <w:sz w:val="24"/>
          <w:szCs w:val="24"/>
        </w:rPr>
        <w:t>]</w:t>
      </w:r>
      <w:r w:rsidR="00541BEF" w:rsidRPr="00C521C3">
        <w:rPr>
          <w:rFonts w:asciiTheme="majorBidi" w:eastAsia="Times New Roman" w:hAnsiTheme="majorBidi" w:cstheme="majorBidi"/>
          <w:color w:val="000000" w:themeColor="text1"/>
          <w:sz w:val="24"/>
          <w:szCs w:val="24"/>
        </w:rPr>
        <w:t xml:space="preserve"> Kargulewicz A, Stankowiak-Kulpa H, Grzymisławski M. Dietary recommendations for patients with nonalcoholic fatty liver disease. Prz Gastroenterol. 2014;9(1):18–23. [</w:t>
      </w:r>
      <w:hyperlink r:id="rId108" w:history="1">
        <w:r w:rsidR="00541BEF" w:rsidRPr="00C521C3">
          <w:rPr>
            <w:rFonts w:asciiTheme="majorBidi" w:eastAsia="Times New Roman" w:hAnsiTheme="majorBidi" w:cstheme="majorBidi"/>
            <w:color w:val="000000" w:themeColor="text1"/>
            <w:sz w:val="24"/>
            <w:szCs w:val="24"/>
          </w:rPr>
          <w:t>PMC free article</w:t>
        </w:r>
      </w:hyperlink>
      <w:r w:rsidR="00541BEF" w:rsidRPr="00C521C3">
        <w:rPr>
          <w:rFonts w:asciiTheme="majorBidi" w:eastAsia="Times New Roman" w:hAnsiTheme="majorBidi" w:cstheme="majorBidi"/>
          <w:color w:val="000000" w:themeColor="text1"/>
          <w:sz w:val="24"/>
          <w:szCs w:val="24"/>
        </w:rPr>
        <w:t>] [</w:t>
      </w:r>
      <w:hyperlink r:id="rId109" w:tgtFrame="pmc_ext" w:history="1">
        <w:r w:rsidR="00541BEF" w:rsidRPr="00C521C3">
          <w:rPr>
            <w:rFonts w:asciiTheme="majorBidi" w:eastAsia="Times New Roman" w:hAnsiTheme="majorBidi" w:cstheme="majorBidi"/>
            <w:color w:val="000000" w:themeColor="text1"/>
            <w:sz w:val="24"/>
            <w:szCs w:val="24"/>
          </w:rPr>
          <w:t>PubMed</w:t>
        </w:r>
      </w:hyperlink>
      <w:r w:rsidR="00541BEF" w:rsidRPr="00C521C3">
        <w:rPr>
          <w:rFonts w:asciiTheme="majorBidi" w:eastAsia="Times New Roman" w:hAnsiTheme="majorBidi" w:cstheme="majorBidi"/>
          <w:color w:val="000000" w:themeColor="text1"/>
          <w:sz w:val="24"/>
          <w:szCs w:val="24"/>
        </w:rPr>
        <w:t>]</w:t>
      </w:r>
      <w:r>
        <w:rPr>
          <w:rFonts w:asciiTheme="majorBidi" w:eastAsia="Times New Roman" w:hAnsiTheme="majorBidi" w:cstheme="majorBidi"/>
          <w:color w:val="000000" w:themeColor="text1"/>
          <w:sz w:val="24"/>
          <w:szCs w:val="24"/>
        </w:rPr>
        <w:t>.</w:t>
      </w:r>
      <w:r w:rsidR="00541BEF" w:rsidRPr="00C521C3">
        <w:rPr>
          <w:rFonts w:asciiTheme="majorBidi" w:eastAsia="Times New Roman" w:hAnsiTheme="majorBidi" w:cstheme="majorBidi"/>
          <w:color w:val="000000" w:themeColor="text1"/>
          <w:sz w:val="24"/>
          <w:szCs w:val="24"/>
        </w:rPr>
        <w:br/>
      </w:r>
      <w:r w:rsidR="00541BEF" w:rsidRPr="00C521C3">
        <w:rPr>
          <w:rFonts w:asciiTheme="majorBidi" w:eastAsia="Times New Roman" w:hAnsiTheme="majorBidi" w:cstheme="majorBidi"/>
          <w:color w:val="000000" w:themeColor="text1"/>
          <w:sz w:val="24"/>
          <w:szCs w:val="24"/>
        </w:rPr>
        <w:br/>
      </w:r>
      <w:r w:rsidR="00541BEF" w:rsidRPr="00C521C3">
        <w:rPr>
          <w:rFonts w:asciiTheme="majorBidi" w:hAnsiTheme="majorBidi" w:cstheme="majorBidi"/>
          <w:color w:val="000000" w:themeColor="text1"/>
          <w:sz w:val="24"/>
          <w:szCs w:val="24"/>
        </w:rPr>
        <w:t>[</w:t>
      </w:r>
      <w:r w:rsidR="00541BEF" w:rsidRPr="00C521C3">
        <w:rPr>
          <w:rFonts w:asciiTheme="majorBidi" w:eastAsia="Times New Roman" w:hAnsiTheme="majorBidi" w:cstheme="majorBidi"/>
          <w:color w:val="000000" w:themeColor="text1"/>
          <w:sz w:val="24"/>
          <w:szCs w:val="24"/>
        </w:rPr>
        <w:t>12</w:t>
      </w:r>
      <w:r w:rsidR="00541BEF" w:rsidRPr="00C521C3">
        <w:rPr>
          <w:rFonts w:asciiTheme="majorBidi" w:hAnsiTheme="majorBidi" w:cstheme="majorBidi"/>
          <w:color w:val="000000" w:themeColor="text1"/>
          <w:sz w:val="24"/>
          <w:szCs w:val="24"/>
        </w:rPr>
        <w:t>]</w:t>
      </w:r>
      <w:r w:rsidR="00541BEF" w:rsidRPr="00C521C3">
        <w:rPr>
          <w:rFonts w:asciiTheme="majorBidi" w:eastAsia="Times New Roman" w:hAnsiTheme="majorBidi" w:cstheme="majorBidi"/>
          <w:color w:val="000000" w:themeColor="text1"/>
          <w:sz w:val="24"/>
          <w:szCs w:val="24"/>
        </w:rPr>
        <w:t xml:space="preserve"> US Department of Agriculture and US Department of Health and Human Services. Dietary Guidelines for Americans. Washington, DC: US Government Printing Office; 2010. </w:t>
      </w:r>
      <w:hyperlink r:id="rId110" w:tgtFrame="_blank" w:history="1">
        <w:r w:rsidR="00541BEF" w:rsidRPr="00C521C3">
          <w:rPr>
            <w:rFonts w:asciiTheme="majorBidi" w:eastAsia="Times New Roman" w:hAnsiTheme="majorBidi" w:cstheme="majorBidi"/>
            <w:color w:val="000000" w:themeColor="text1"/>
            <w:sz w:val="24"/>
            <w:szCs w:val="24"/>
          </w:rPr>
          <w:t>http://www.dietaryguidelines.gov</w:t>
        </w:r>
      </w:hyperlink>
      <w:r w:rsidR="00541BEF" w:rsidRPr="00C521C3">
        <w:rPr>
          <w:rFonts w:asciiTheme="majorBidi" w:eastAsia="Times New Roman" w:hAnsiTheme="majorBidi" w:cstheme="majorBidi"/>
          <w:color w:val="000000" w:themeColor="text1"/>
          <w:sz w:val="24"/>
          <w:szCs w:val="24"/>
        </w:rPr>
        <w:t>. [</w:t>
      </w:r>
      <w:hyperlink r:id="rId111" w:history="1">
        <w:r w:rsidR="00541BEF" w:rsidRPr="00C521C3">
          <w:rPr>
            <w:rFonts w:asciiTheme="majorBidi" w:eastAsia="Times New Roman" w:hAnsiTheme="majorBidi" w:cstheme="majorBidi"/>
            <w:color w:val="000000" w:themeColor="text1"/>
            <w:sz w:val="24"/>
            <w:szCs w:val="24"/>
          </w:rPr>
          <w:t>PMC free article</w:t>
        </w:r>
      </w:hyperlink>
      <w:r w:rsidR="00541BEF" w:rsidRPr="00C521C3">
        <w:rPr>
          <w:rFonts w:asciiTheme="majorBidi" w:eastAsia="Times New Roman" w:hAnsiTheme="majorBidi" w:cstheme="majorBidi"/>
          <w:color w:val="000000" w:themeColor="text1"/>
          <w:sz w:val="24"/>
          <w:szCs w:val="24"/>
        </w:rPr>
        <w:t>] [</w:t>
      </w:r>
      <w:hyperlink r:id="rId112" w:tgtFrame="pmc_ext" w:history="1">
        <w:r w:rsidR="00541BEF" w:rsidRPr="00C521C3">
          <w:rPr>
            <w:rFonts w:asciiTheme="majorBidi" w:eastAsia="Times New Roman" w:hAnsiTheme="majorBidi" w:cstheme="majorBidi"/>
            <w:color w:val="000000" w:themeColor="text1"/>
            <w:sz w:val="24"/>
            <w:szCs w:val="24"/>
          </w:rPr>
          <w:t>PubMed</w:t>
        </w:r>
      </w:hyperlink>
      <w:r w:rsidR="00541BEF" w:rsidRPr="00C521C3">
        <w:rPr>
          <w:rFonts w:asciiTheme="majorBidi" w:eastAsia="Times New Roman" w:hAnsiTheme="majorBidi" w:cstheme="majorBidi"/>
          <w:color w:val="000000" w:themeColor="text1"/>
          <w:sz w:val="24"/>
          <w:szCs w:val="24"/>
        </w:rPr>
        <w:t>]</w:t>
      </w:r>
      <w:r>
        <w:rPr>
          <w:rFonts w:asciiTheme="majorBidi" w:eastAsia="Times New Roman"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lastRenderedPageBreak/>
        <w:br/>
        <w:t xml:space="preserve">[13] </w:t>
      </w:r>
      <w:r w:rsidRPr="00C521C3">
        <w:rPr>
          <w:rStyle w:val="ref-journal"/>
          <w:rFonts w:asciiTheme="majorBidi" w:hAnsiTheme="majorBidi" w:cstheme="majorBidi"/>
          <w:color w:val="000000" w:themeColor="text1"/>
          <w:sz w:val="24"/>
          <w:szCs w:val="24"/>
        </w:rPr>
        <w:t>Food and Nutrition Board, Institute of Medicine. Dietary Reference Intakes for Energy, Carbohydrate, Fiber, Fat, Fatty Acids, Cholesterol, Protein, and Amino Acids (Macronutrients). [prepublication version]</w:t>
      </w:r>
      <w:r w:rsidRPr="00C521C3">
        <w:rPr>
          <w:rStyle w:val="element-citation"/>
          <w:rFonts w:asciiTheme="majorBidi" w:hAnsiTheme="majorBidi" w:cstheme="majorBidi"/>
          <w:color w:val="000000" w:themeColor="text1"/>
          <w:sz w:val="24"/>
          <w:szCs w:val="24"/>
        </w:rPr>
        <w:t xml:space="preserve"> Washington, DC: National Academy Press; 2002. </w:t>
      </w:r>
      <w:hyperlink r:id="rId113" w:tgtFrame="_blank" w:history="1">
        <w:r w:rsidRPr="00C521C3">
          <w:rPr>
            <w:rStyle w:val="Hyperlink"/>
            <w:rFonts w:asciiTheme="majorBidi" w:hAnsiTheme="majorBidi" w:cstheme="majorBidi"/>
            <w:color w:val="000000" w:themeColor="text1"/>
            <w:sz w:val="24"/>
            <w:szCs w:val="24"/>
            <w:u w:val="none"/>
          </w:rPr>
          <w:t>www.nap.edu/catalog/10490.html</w:t>
        </w:r>
      </w:hyperlink>
      <w:r w:rsidRPr="00C521C3">
        <w:rPr>
          <w:rStyle w:val="element-citation"/>
          <w:rFonts w:asciiTheme="majorBidi" w:hAnsiTheme="majorBidi" w:cstheme="majorBidi"/>
          <w:color w:val="000000" w:themeColor="text1"/>
          <w:sz w:val="24"/>
          <w:szCs w:val="24"/>
        </w:rPr>
        <w:t>. [</w:t>
      </w:r>
      <w:hyperlink r:id="rId114"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sidR="00007DBD">
        <w:rPr>
          <w:rStyle w:val="element-citation"/>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[14] </w:t>
      </w:r>
      <w:r w:rsidRPr="00C521C3">
        <w:rPr>
          <w:rStyle w:val="element-citation"/>
          <w:rFonts w:asciiTheme="majorBidi" w:hAnsiTheme="majorBidi" w:cstheme="majorBidi"/>
          <w:color w:val="000000" w:themeColor="text1"/>
          <w:sz w:val="24"/>
          <w:szCs w:val="24"/>
        </w:rPr>
        <w:t xml:space="preserve">Council WG. Whole grain guidelines worldwide. 2012. </w:t>
      </w:r>
      <w:hyperlink r:id="rId115" w:tgtFrame="_blank" w:history="1">
        <w:r w:rsidRPr="00C521C3">
          <w:rPr>
            <w:rStyle w:val="Hyperlink"/>
            <w:rFonts w:asciiTheme="majorBidi" w:hAnsiTheme="majorBidi" w:cstheme="majorBidi"/>
            <w:color w:val="000000" w:themeColor="text1"/>
            <w:sz w:val="24"/>
            <w:szCs w:val="24"/>
            <w:u w:val="none"/>
          </w:rPr>
          <w:t>http://www.wholegrainscouncil.org/whole-grains-101/whole-grain-guidelines-worldwide</w:t>
        </w:r>
      </w:hyperlink>
      <w:r w:rsidRPr="00C521C3">
        <w:rPr>
          <w:rStyle w:val="element-citation"/>
          <w:rFonts w:asciiTheme="majorBidi" w:hAnsiTheme="majorBidi" w:cstheme="majorBidi"/>
          <w:color w:val="000000" w:themeColor="text1"/>
          <w:sz w:val="24"/>
          <w:szCs w:val="24"/>
        </w:rPr>
        <w:t>.</w:t>
      </w:r>
      <w:r w:rsidRPr="00C521C3">
        <w:rPr>
          <w:rStyle w:val="element-citation"/>
          <w:rFonts w:asciiTheme="majorBidi" w:hAnsiTheme="majorBidi" w:cstheme="majorBidi"/>
          <w:color w:val="000000" w:themeColor="text1"/>
          <w:sz w:val="24"/>
          <w:szCs w:val="24"/>
        </w:rPr>
        <w:br/>
      </w:r>
      <w:r w:rsidRPr="00C521C3">
        <w:rPr>
          <w:rStyle w:val="element-citation"/>
          <w:rFonts w:asciiTheme="majorBidi" w:hAnsiTheme="majorBidi" w:cstheme="majorBidi"/>
          <w:color w:val="000000" w:themeColor="text1"/>
          <w:sz w:val="24"/>
          <w:szCs w:val="24"/>
        </w:rPr>
        <w:br/>
      </w:r>
      <w:r w:rsidRPr="00C521C3">
        <w:rPr>
          <w:rFonts w:asciiTheme="majorBidi" w:hAnsiTheme="majorBidi" w:cstheme="majorBidi"/>
          <w:color w:val="000000" w:themeColor="text1"/>
          <w:sz w:val="24"/>
          <w:szCs w:val="24"/>
        </w:rPr>
        <w:t xml:space="preserve">[15] </w:t>
      </w:r>
      <w:r w:rsidRPr="00C521C3">
        <w:rPr>
          <w:rStyle w:val="ref-journal"/>
          <w:rFonts w:asciiTheme="majorBidi" w:hAnsiTheme="majorBidi" w:cstheme="majorBidi"/>
          <w:color w:val="000000" w:themeColor="text1"/>
          <w:sz w:val="24"/>
          <w:szCs w:val="24"/>
        </w:rPr>
        <w:t>US Department of Agriculture and US Department of Health and Human Services. Dietary Guidelines for Americans.</w:t>
      </w:r>
      <w:r w:rsidRPr="00C521C3">
        <w:rPr>
          <w:rStyle w:val="element-citation"/>
          <w:rFonts w:asciiTheme="majorBidi" w:hAnsiTheme="majorBidi" w:cstheme="majorBidi"/>
          <w:color w:val="000000" w:themeColor="text1"/>
          <w:sz w:val="24"/>
          <w:szCs w:val="24"/>
        </w:rPr>
        <w:t xml:space="preserve"> Washington, DC: US Government Printing Office; 2010. </w:t>
      </w:r>
      <w:hyperlink r:id="rId116" w:tgtFrame="_blank" w:history="1">
        <w:r w:rsidRPr="00C521C3">
          <w:rPr>
            <w:rStyle w:val="Hyperlink"/>
            <w:rFonts w:asciiTheme="majorBidi" w:hAnsiTheme="majorBidi" w:cstheme="majorBidi"/>
            <w:color w:val="000000" w:themeColor="text1"/>
            <w:sz w:val="24"/>
            <w:szCs w:val="24"/>
            <w:u w:val="none"/>
          </w:rPr>
          <w:t>http://www.dietaryguidelines.gov</w:t>
        </w:r>
      </w:hyperlink>
      <w:r w:rsidRPr="00C521C3">
        <w:rPr>
          <w:rStyle w:val="element-citation"/>
          <w:rFonts w:asciiTheme="majorBidi" w:hAnsiTheme="majorBidi" w:cstheme="majorBidi"/>
          <w:color w:val="000000" w:themeColor="text1"/>
          <w:sz w:val="24"/>
          <w:szCs w:val="24"/>
        </w:rPr>
        <w:t xml:space="preserve">. </w:t>
      </w:r>
      <w:r w:rsidRPr="00C521C3">
        <w:rPr>
          <w:rStyle w:val="nowrap"/>
          <w:rFonts w:asciiTheme="majorBidi" w:hAnsiTheme="majorBidi" w:cstheme="majorBidi"/>
          <w:color w:val="000000" w:themeColor="text1"/>
          <w:sz w:val="24"/>
          <w:szCs w:val="24"/>
        </w:rPr>
        <w:t>[</w:t>
      </w:r>
      <w:hyperlink r:id="rId117" w:history="1">
        <w:r w:rsidRPr="00C521C3">
          <w:rPr>
            <w:rStyle w:val="Hyperlink"/>
            <w:rFonts w:asciiTheme="majorBidi" w:hAnsiTheme="majorBidi" w:cstheme="majorBidi"/>
            <w:color w:val="000000" w:themeColor="text1"/>
            <w:sz w:val="24"/>
            <w:szCs w:val="24"/>
            <w:u w:val="none"/>
          </w:rPr>
          <w:t>PMC free article</w:t>
        </w:r>
      </w:hyperlink>
      <w:r w:rsidRPr="00C521C3">
        <w:rPr>
          <w:rStyle w:val="nowrap"/>
          <w:rFonts w:asciiTheme="majorBidi" w:hAnsiTheme="majorBidi" w:cstheme="majorBidi"/>
          <w:color w:val="000000" w:themeColor="text1"/>
          <w:sz w:val="24"/>
          <w:szCs w:val="24"/>
        </w:rPr>
        <w:t>]</w:t>
      </w:r>
      <w:r w:rsidRPr="00C521C3">
        <w:rPr>
          <w:rStyle w:val="element-citation"/>
          <w:rFonts w:asciiTheme="majorBidi" w:hAnsiTheme="majorBidi" w:cstheme="majorBidi"/>
          <w:color w:val="000000" w:themeColor="text1"/>
          <w:sz w:val="24"/>
          <w:szCs w:val="24"/>
        </w:rPr>
        <w:t xml:space="preserve"> [</w:t>
      </w:r>
      <w:hyperlink r:id="rId118"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sidR="00007DBD">
        <w:rPr>
          <w:rStyle w:val="element-citation"/>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[16] </w:t>
      </w:r>
      <w:r w:rsidRPr="00C521C3">
        <w:rPr>
          <w:rStyle w:val="element-citation"/>
          <w:rFonts w:asciiTheme="majorBidi" w:hAnsiTheme="majorBidi" w:cstheme="majorBidi"/>
          <w:color w:val="000000" w:themeColor="text1"/>
          <w:sz w:val="24"/>
          <w:szCs w:val="24"/>
        </w:rPr>
        <w:t xml:space="preserve">Bates B, Lennox A, Prentice A, Bates C, Swan G. </w:t>
      </w:r>
      <w:r w:rsidRPr="00C521C3">
        <w:rPr>
          <w:rStyle w:val="ref-journal"/>
          <w:rFonts w:asciiTheme="majorBidi" w:hAnsiTheme="majorBidi" w:cstheme="majorBidi"/>
          <w:color w:val="000000" w:themeColor="text1"/>
          <w:sz w:val="24"/>
          <w:szCs w:val="24"/>
        </w:rPr>
        <w:t>National Diet and Nutrition Survey: Headline Results from Years 1 and 2 and 3 (combined) of the Rolling Programme (2008/ 2009–2010/ 11)</w:t>
      </w:r>
      <w:r w:rsidRPr="00C521C3">
        <w:rPr>
          <w:rStyle w:val="element-citation"/>
          <w:rFonts w:asciiTheme="majorBidi" w:hAnsiTheme="majorBidi" w:cstheme="majorBidi"/>
          <w:color w:val="000000" w:themeColor="text1"/>
          <w:sz w:val="24"/>
          <w:szCs w:val="24"/>
        </w:rPr>
        <w:t xml:space="preserve"> London: Department of Health, Food Standards Agency; 2012. </w:t>
      </w:r>
    </w:p>
    <w:p w:rsidR="00541BEF"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[17] </w:t>
      </w:r>
      <w:r w:rsidRPr="00C521C3">
        <w:rPr>
          <w:rStyle w:val="element-citation"/>
          <w:rFonts w:asciiTheme="majorBidi" w:hAnsiTheme="majorBidi" w:cstheme="majorBidi"/>
          <w:color w:val="000000" w:themeColor="text1"/>
          <w:sz w:val="24"/>
          <w:szCs w:val="24"/>
        </w:rPr>
        <w:t xml:space="preserve">Chalasani N, Younossi Z, Lavine JE, Diehl AM, Brunt EM, Cusi K, Charlton M, Sanyal AJ. The diagnosis and management of non-alcoholic fatty liver disease: Practice guideline by the American Association for the Study of Liver Diseases, American College of Gastroenterology, and the American Gastroenterological Association. </w:t>
      </w:r>
      <w:r w:rsidRPr="00C521C3">
        <w:rPr>
          <w:rStyle w:val="ref-journal"/>
          <w:rFonts w:asciiTheme="majorBidi" w:hAnsiTheme="majorBidi" w:cstheme="majorBidi"/>
          <w:color w:val="000000" w:themeColor="text1"/>
          <w:sz w:val="24"/>
          <w:szCs w:val="24"/>
        </w:rPr>
        <w:t xml:space="preserve">Am J Gastroenterol. </w:t>
      </w:r>
      <w:r w:rsidRPr="00C521C3">
        <w:rPr>
          <w:rStyle w:val="element-citation"/>
          <w:rFonts w:asciiTheme="majorBidi" w:hAnsiTheme="majorBidi" w:cstheme="majorBidi"/>
          <w:color w:val="000000" w:themeColor="text1"/>
          <w:sz w:val="24"/>
          <w:szCs w:val="24"/>
        </w:rPr>
        <w:t>2012;</w:t>
      </w:r>
      <w:r w:rsidRPr="00C521C3">
        <w:rPr>
          <w:rStyle w:val="ref-vol"/>
          <w:rFonts w:asciiTheme="majorBidi" w:hAnsiTheme="majorBidi" w:cstheme="majorBidi"/>
          <w:color w:val="000000" w:themeColor="text1"/>
          <w:sz w:val="24"/>
          <w:szCs w:val="24"/>
        </w:rPr>
        <w:t>55</w:t>
      </w:r>
      <w:r w:rsidRPr="00C521C3">
        <w:rPr>
          <w:rStyle w:val="element-citation"/>
          <w:rFonts w:asciiTheme="majorBidi" w:hAnsiTheme="majorBidi" w:cstheme="majorBidi"/>
          <w:color w:val="000000" w:themeColor="text1"/>
          <w:sz w:val="24"/>
          <w:szCs w:val="24"/>
        </w:rPr>
        <w:t>:2005–2023. [</w:t>
      </w:r>
      <w:hyperlink r:id="rId119"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sidR="00007DBD">
        <w:rPr>
          <w:rStyle w:val="element-citation"/>
          <w:rFonts w:asciiTheme="majorBidi" w:hAnsiTheme="majorBidi" w:cstheme="majorBidi"/>
          <w:color w:val="000000" w:themeColor="text1"/>
          <w:sz w:val="24"/>
          <w:szCs w:val="24"/>
        </w:rPr>
        <w:t>.</w:t>
      </w:r>
      <w:r w:rsidRPr="00C521C3">
        <w:rPr>
          <w:rStyle w:val="element-citation"/>
          <w:rFonts w:asciiTheme="majorBidi" w:hAnsiTheme="majorBidi" w:cstheme="majorBidi"/>
          <w:color w:val="000000" w:themeColor="text1"/>
          <w:sz w:val="24"/>
          <w:szCs w:val="24"/>
        </w:rPr>
        <w:br/>
      </w:r>
      <w:r w:rsidRPr="00C521C3">
        <w:rPr>
          <w:rStyle w:val="element-citation"/>
          <w:rFonts w:asciiTheme="majorBidi" w:hAnsiTheme="majorBidi" w:cstheme="majorBidi"/>
          <w:color w:val="000000" w:themeColor="text1"/>
          <w:sz w:val="24"/>
          <w:szCs w:val="24"/>
        </w:rPr>
        <w:br/>
      </w:r>
      <w:r w:rsidRPr="00C521C3">
        <w:rPr>
          <w:rFonts w:asciiTheme="majorBidi" w:hAnsiTheme="majorBidi" w:cstheme="majorBidi"/>
          <w:color w:val="000000" w:themeColor="text1"/>
          <w:sz w:val="24"/>
          <w:szCs w:val="24"/>
        </w:rPr>
        <w:t xml:space="preserve">[18] </w:t>
      </w:r>
      <w:r w:rsidRPr="00C521C3">
        <w:rPr>
          <w:rStyle w:val="element-citation"/>
          <w:rFonts w:asciiTheme="majorBidi" w:hAnsiTheme="majorBidi" w:cstheme="majorBidi"/>
          <w:color w:val="000000" w:themeColor="text1"/>
          <w:sz w:val="24"/>
          <w:szCs w:val="24"/>
        </w:rPr>
        <w:t xml:space="preserve">Tiniakos DG, Vos MB, Brunt EM. Nonalcoholic fatty liver disease: pathology and pathogenesis. </w:t>
      </w:r>
      <w:r w:rsidRPr="00C521C3">
        <w:rPr>
          <w:rStyle w:val="ref-journal"/>
          <w:rFonts w:asciiTheme="majorBidi" w:hAnsiTheme="majorBidi" w:cstheme="majorBidi"/>
          <w:color w:val="000000" w:themeColor="text1"/>
          <w:sz w:val="24"/>
          <w:szCs w:val="24"/>
        </w:rPr>
        <w:t xml:space="preserve">Annu Rev Pathol.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5</w:t>
      </w:r>
      <w:r w:rsidRPr="00C521C3">
        <w:rPr>
          <w:rStyle w:val="element-citation"/>
          <w:rFonts w:asciiTheme="majorBidi" w:hAnsiTheme="majorBidi" w:cstheme="majorBidi"/>
          <w:color w:val="000000" w:themeColor="text1"/>
          <w:sz w:val="24"/>
          <w:szCs w:val="24"/>
        </w:rPr>
        <w:t>:145–171. [</w:t>
      </w:r>
      <w:hyperlink r:id="rId120"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sidR="00007DBD">
        <w:rPr>
          <w:rStyle w:val="element-citation"/>
          <w:rFonts w:asciiTheme="majorBidi" w:hAnsiTheme="majorBidi" w:cstheme="majorBidi"/>
          <w:color w:val="000000" w:themeColor="text1"/>
          <w:sz w:val="24"/>
          <w:szCs w:val="24"/>
        </w:rPr>
        <w:t>.</w:t>
      </w:r>
    </w:p>
    <w:p w:rsidR="00541BEF" w:rsidRPr="00C521C3" w:rsidRDefault="00541BEF" w:rsidP="00541BEF">
      <w:pPr>
        <w:spacing w:after="0" w:line="240" w:lineRule="auto"/>
        <w:rPr>
          <w:rFonts w:asciiTheme="majorBidi" w:eastAsia="Times New Roman" w:hAnsiTheme="majorBidi" w:cstheme="majorBidi"/>
          <w:color w:val="000000" w:themeColor="text1"/>
          <w:sz w:val="24"/>
          <w:szCs w:val="24"/>
        </w:rPr>
      </w:pPr>
      <w:r w:rsidRPr="00C521C3">
        <w:rPr>
          <w:rFonts w:asciiTheme="majorBidi" w:hAnsiTheme="majorBidi" w:cstheme="majorBidi"/>
          <w:color w:val="000000" w:themeColor="text1"/>
          <w:sz w:val="24"/>
          <w:szCs w:val="24"/>
        </w:rPr>
        <w:br/>
      </w:r>
    </w:p>
    <w:p w:rsidR="00541BEF" w:rsidRPr="009D1F44" w:rsidRDefault="00541BEF" w:rsidP="0091755A">
      <w:pPr>
        <w:spacing w:after="0" w:line="240" w:lineRule="auto"/>
        <w:rPr>
          <w:rFonts w:asciiTheme="majorBidi" w:eastAsia="Times New Roman" w:hAnsiTheme="majorBidi" w:cstheme="majorBidi"/>
          <w:color w:val="000000" w:themeColor="text1"/>
          <w:sz w:val="24"/>
          <w:szCs w:val="24"/>
        </w:rPr>
      </w:pPr>
      <w:r w:rsidRPr="009D1F44">
        <w:rPr>
          <w:rFonts w:asciiTheme="majorBidi"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t>19</w:t>
      </w:r>
      <w:r w:rsidRPr="009D1F44">
        <w:rPr>
          <w:rFonts w:asciiTheme="majorBidi" w:hAnsiTheme="majorBidi" w:cstheme="majorBidi"/>
          <w:color w:val="000000" w:themeColor="text1"/>
          <w:sz w:val="24"/>
          <w:szCs w:val="24"/>
        </w:rPr>
        <w:t>]</w:t>
      </w:r>
      <w:r w:rsidR="0091755A" w:rsidRPr="009D1F44">
        <w:rPr>
          <w:rFonts w:asciiTheme="majorBidi" w:eastAsia="Times New Roman" w:hAnsiTheme="majorBidi" w:cstheme="majorBidi"/>
          <w:color w:val="000000" w:themeColor="text1"/>
          <w:sz w:val="24"/>
          <w:szCs w:val="24"/>
        </w:rPr>
        <w:t xml:space="preserve"> </w:t>
      </w:r>
      <w:r w:rsidRPr="009D1F44">
        <w:rPr>
          <w:rFonts w:asciiTheme="majorBidi" w:eastAsia="Times New Roman" w:hAnsiTheme="majorBidi" w:cstheme="majorBidi"/>
          <w:color w:val="000000" w:themeColor="text1"/>
          <w:sz w:val="24"/>
          <w:szCs w:val="24"/>
        </w:rPr>
        <w:t xml:space="preserve">K. Promrat, D.E. Kleiner, H.M. Niemeier, E. Jackvony, M. Kearns, J.R. Wands, </w:t>
      </w:r>
      <w:r w:rsidRPr="009D1F44">
        <w:rPr>
          <w:rFonts w:asciiTheme="majorBidi" w:eastAsia="Times New Roman" w:hAnsiTheme="majorBidi" w:cstheme="majorBidi"/>
          <w:i/>
          <w:iCs/>
          <w:color w:val="000000" w:themeColor="text1"/>
          <w:sz w:val="24"/>
          <w:szCs w:val="24"/>
        </w:rPr>
        <w:t>et al.</w:t>
      </w:r>
      <w:r w:rsidRPr="009D1F44">
        <w:rPr>
          <w:rFonts w:asciiTheme="majorBidi" w:eastAsia="Times New Roman" w:hAnsiTheme="majorBidi" w:cstheme="majorBidi"/>
          <w:color w:val="000000" w:themeColor="text1"/>
          <w:sz w:val="24"/>
          <w:szCs w:val="24"/>
        </w:rPr>
        <w:t>Randomized controlled trial testing the effects of weight loss on nonalcoholic steatohepatitis</w:t>
      </w:r>
      <w:r w:rsidR="00007DBD" w:rsidRPr="009D1F44">
        <w:rPr>
          <w:rFonts w:asciiTheme="majorBidi" w:eastAsia="Times New Roman" w:hAnsiTheme="majorBidi" w:cstheme="majorBidi"/>
          <w:color w:val="000000" w:themeColor="text1"/>
          <w:sz w:val="24"/>
          <w:szCs w:val="24"/>
        </w:rPr>
        <w:t xml:space="preserve"> </w:t>
      </w:r>
      <w:r w:rsidR="00007DBD" w:rsidRPr="009D1F44">
        <w:rPr>
          <w:rFonts w:asciiTheme="majorBidi" w:eastAsia="Times New Roman" w:hAnsiTheme="majorBidi" w:cstheme="majorBidi"/>
          <w:color w:val="000000" w:themeColor="text1"/>
          <w:sz w:val="24"/>
          <w:szCs w:val="24"/>
        </w:rPr>
        <w:t>Hepatology, 51 (2010), pp. 121-129</w:t>
      </w:r>
      <w:r w:rsidR="00007DBD" w:rsidRPr="009D1F44">
        <w:rPr>
          <w:rFonts w:asciiTheme="majorBidi" w:eastAsia="Times New Roman" w:hAnsiTheme="majorBidi" w:cstheme="majorBidi"/>
          <w:color w:val="000000" w:themeColor="text1"/>
          <w:sz w:val="24"/>
          <w:szCs w:val="24"/>
        </w:rPr>
        <w:t>.</w:t>
      </w:r>
      <w:r w:rsidR="00007DBD" w:rsidRPr="009D1F44">
        <w:rPr>
          <w:rFonts w:asciiTheme="majorBidi" w:eastAsia="Times New Roman" w:hAnsiTheme="majorBidi" w:cstheme="majorBidi"/>
          <w:color w:val="000000" w:themeColor="text1"/>
          <w:sz w:val="24"/>
          <w:szCs w:val="24"/>
        </w:rPr>
        <w:br/>
      </w:r>
    </w:p>
    <w:p w:rsidR="00007DBD" w:rsidRDefault="00541BEF" w:rsidP="0091755A">
      <w:pPr>
        <w:spacing w:after="0" w:line="240" w:lineRule="auto"/>
        <w:rPr>
          <w:rFonts w:asciiTheme="majorBidi" w:eastAsia="Times New Roman" w:hAnsiTheme="majorBidi" w:cstheme="majorBidi"/>
          <w:color w:val="000000" w:themeColor="text1"/>
          <w:sz w:val="24"/>
          <w:szCs w:val="24"/>
        </w:rPr>
      </w:pPr>
      <w:r w:rsidRPr="009D1F44">
        <w:rPr>
          <w:rFonts w:asciiTheme="majorBidi" w:eastAsia="Times New Roman" w:hAnsiTheme="majorBidi" w:cstheme="majorBidi"/>
          <w:color w:val="000000" w:themeColor="text1"/>
          <w:sz w:val="24"/>
          <w:szCs w:val="24"/>
        </w:rPr>
        <w:br/>
      </w:r>
      <w:r w:rsidRPr="009D1F44">
        <w:rPr>
          <w:rFonts w:asciiTheme="majorBidi"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t>20</w:t>
      </w:r>
      <w:r w:rsidRPr="009D1F44">
        <w:rPr>
          <w:rFonts w:asciiTheme="majorBidi"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t xml:space="preserve"> S. Sullivan, E.P. Kirk, B. Mittendorfer, B.W. Patterson, S. KleinRandomized trial of exercise effect on intrahepatic triglyceride content and lipid kinetics in nonalcoholic fatty liver disease</w:t>
      </w:r>
      <w:r w:rsidR="00007DBD" w:rsidRPr="009D1F44">
        <w:rPr>
          <w:rFonts w:asciiTheme="majorBidi" w:eastAsia="Times New Roman" w:hAnsiTheme="majorBidi" w:cstheme="majorBidi"/>
          <w:color w:val="000000" w:themeColor="text1"/>
          <w:sz w:val="24"/>
          <w:szCs w:val="24"/>
        </w:rPr>
        <w:t xml:space="preserve"> </w:t>
      </w:r>
      <w:r w:rsidR="00007DBD" w:rsidRPr="009D1F44">
        <w:rPr>
          <w:rFonts w:asciiTheme="majorBidi" w:eastAsia="Times New Roman" w:hAnsiTheme="majorBidi" w:cstheme="majorBidi"/>
          <w:color w:val="000000" w:themeColor="text1"/>
          <w:sz w:val="24"/>
          <w:szCs w:val="24"/>
        </w:rPr>
        <w:t>Hepatology, 55 (2012), pp. 1738-1745</w:t>
      </w:r>
      <w:r w:rsidR="00007DBD" w:rsidRPr="009D1F44">
        <w:rPr>
          <w:rFonts w:asciiTheme="majorBidi" w:eastAsia="Times New Roman" w:hAnsiTheme="majorBidi" w:cstheme="majorBidi"/>
          <w:color w:val="000000" w:themeColor="text1"/>
          <w:sz w:val="24"/>
          <w:szCs w:val="24"/>
        </w:rPr>
        <w:t>.</w:t>
      </w:r>
      <w:r w:rsidR="00B2136C">
        <w:rPr>
          <w:rFonts w:asciiTheme="majorBidi" w:eastAsia="Times New Roman" w:hAnsiTheme="majorBidi" w:cstheme="majorBidi"/>
          <w:color w:val="000000" w:themeColor="text1"/>
          <w:sz w:val="24"/>
          <w:szCs w:val="24"/>
        </w:rPr>
        <w:t xml:space="preserve">  </w:t>
      </w:r>
    </w:p>
    <w:p w:rsidR="00B2136C" w:rsidRPr="009D1F44" w:rsidRDefault="00B2136C" w:rsidP="00007DBD">
      <w:pPr>
        <w:spacing w:after="0" w:line="240" w:lineRule="auto"/>
        <w:rPr>
          <w:rFonts w:asciiTheme="majorBidi" w:eastAsia="Times New Roman" w:hAnsiTheme="majorBidi" w:cstheme="majorBidi"/>
          <w:color w:val="000000" w:themeColor="text1"/>
          <w:sz w:val="24"/>
          <w:szCs w:val="24"/>
        </w:rPr>
      </w:pPr>
    </w:p>
    <w:p w:rsidR="00541BEF" w:rsidRPr="009D1F44" w:rsidRDefault="00B2136C" w:rsidP="0091755A">
      <w:pPr>
        <w:spacing w:after="0" w:line="240" w:lineRule="auto"/>
        <w:rPr>
          <w:rFonts w:asciiTheme="majorBidi" w:eastAsia="Times New Roman" w:hAnsiTheme="majorBidi" w:cstheme="majorBidi"/>
          <w:color w:val="000000" w:themeColor="text1"/>
          <w:sz w:val="24"/>
          <w:szCs w:val="24"/>
        </w:rPr>
      </w:pPr>
      <w:r w:rsidRPr="009D1F44">
        <w:rPr>
          <w:rFonts w:asciiTheme="majorBidi"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t>21</w:t>
      </w:r>
      <w:r w:rsidRPr="009D1F44">
        <w:rPr>
          <w:rFonts w:asciiTheme="majorBidi" w:hAnsiTheme="majorBidi" w:cstheme="majorBidi"/>
          <w:color w:val="000000" w:themeColor="text1"/>
          <w:sz w:val="24"/>
          <w:szCs w:val="24"/>
        </w:rPr>
        <w:t>]</w:t>
      </w:r>
      <w:r w:rsidR="0091755A" w:rsidRPr="009D1F44">
        <w:rPr>
          <w:rFonts w:asciiTheme="majorBidi" w:eastAsia="Times New Roman" w:hAnsiTheme="majorBidi" w:cstheme="majorBidi"/>
          <w:color w:val="000000" w:themeColor="text1"/>
          <w:sz w:val="24"/>
          <w:szCs w:val="24"/>
        </w:rPr>
        <w:t xml:space="preserve"> </w:t>
      </w:r>
      <w:r w:rsidRPr="009D1F44">
        <w:rPr>
          <w:rFonts w:asciiTheme="majorBidi" w:eastAsia="Times New Roman" w:hAnsiTheme="majorBidi" w:cstheme="majorBidi"/>
          <w:color w:val="000000" w:themeColor="text1"/>
          <w:sz w:val="24"/>
          <w:szCs w:val="24"/>
        </w:rPr>
        <w:t xml:space="preserve">K. Promrat, D.E. Kleiner, H.M. Niemeier, E. Jackvony, M. Kearns, J.R. Wands, </w:t>
      </w:r>
      <w:r w:rsidRPr="009D1F44">
        <w:rPr>
          <w:rFonts w:asciiTheme="majorBidi" w:eastAsia="Times New Roman" w:hAnsiTheme="majorBidi" w:cstheme="majorBidi"/>
          <w:i/>
          <w:iCs/>
          <w:color w:val="000000" w:themeColor="text1"/>
          <w:sz w:val="24"/>
          <w:szCs w:val="24"/>
        </w:rPr>
        <w:t>et al.</w:t>
      </w:r>
      <w:r w:rsidRPr="009D1F44">
        <w:rPr>
          <w:rFonts w:asciiTheme="majorBidi" w:eastAsia="Times New Roman" w:hAnsiTheme="majorBidi" w:cstheme="majorBidi"/>
          <w:color w:val="000000" w:themeColor="text1"/>
          <w:sz w:val="24"/>
          <w:szCs w:val="24"/>
        </w:rPr>
        <w:t>Randomized controlled trial testing the effects of weight loss on nonalcoholic steatohepatitis Hepatology, 51 (2010), pp. 121-129.</w:t>
      </w:r>
      <w:r>
        <w:rPr>
          <w:rFonts w:asciiTheme="majorBidi" w:eastAsia="Times New Roman" w:hAnsiTheme="majorBidi" w:cstheme="majorBidi"/>
          <w:color w:val="000000" w:themeColor="text1"/>
          <w:sz w:val="24"/>
          <w:szCs w:val="24"/>
        </w:rPr>
        <w:br/>
      </w:r>
    </w:p>
    <w:p w:rsidR="00541BEF" w:rsidRPr="009D1F44" w:rsidRDefault="00541BEF" w:rsidP="00541BEF">
      <w:pPr>
        <w:spacing w:after="0" w:line="240" w:lineRule="auto"/>
        <w:rPr>
          <w:rFonts w:asciiTheme="majorBidi" w:eastAsia="Times New Roman" w:hAnsiTheme="majorBidi" w:cstheme="majorBidi"/>
          <w:color w:val="000000" w:themeColor="text1"/>
          <w:sz w:val="24"/>
          <w:szCs w:val="24"/>
        </w:rPr>
      </w:pPr>
    </w:p>
    <w:p w:rsidR="00541BEF" w:rsidRPr="009D1F44" w:rsidRDefault="00541BEF" w:rsidP="0091755A">
      <w:pPr>
        <w:spacing w:after="0" w:line="240" w:lineRule="auto"/>
        <w:rPr>
          <w:rFonts w:asciiTheme="majorBidi" w:eastAsia="Times New Roman" w:hAnsiTheme="majorBidi" w:cstheme="majorBidi"/>
          <w:color w:val="000000" w:themeColor="text1"/>
          <w:sz w:val="24"/>
          <w:szCs w:val="24"/>
        </w:rPr>
      </w:pPr>
      <w:r w:rsidRPr="009D1F44">
        <w:rPr>
          <w:rFonts w:asciiTheme="majorBidi"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t>22</w:t>
      </w:r>
      <w:r w:rsidRPr="009D1F44">
        <w:rPr>
          <w:rFonts w:asciiTheme="majorBidi" w:hAnsiTheme="majorBidi" w:cstheme="majorBidi"/>
          <w:color w:val="000000" w:themeColor="text1"/>
          <w:sz w:val="24"/>
          <w:szCs w:val="24"/>
        </w:rPr>
        <w:t>]</w:t>
      </w:r>
      <w:r w:rsidR="0091755A" w:rsidRPr="009D1F44">
        <w:rPr>
          <w:rFonts w:asciiTheme="majorBidi" w:eastAsia="Times New Roman" w:hAnsiTheme="majorBidi" w:cstheme="majorBidi"/>
          <w:color w:val="000000" w:themeColor="text1"/>
          <w:sz w:val="24"/>
          <w:szCs w:val="24"/>
        </w:rPr>
        <w:t xml:space="preserve"> </w:t>
      </w:r>
      <w:r w:rsidRPr="009D1F44">
        <w:rPr>
          <w:rFonts w:asciiTheme="majorBidi" w:eastAsia="Times New Roman" w:hAnsiTheme="majorBidi" w:cstheme="majorBidi"/>
          <w:color w:val="000000" w:themeColor="text1"/>
          <w:sz w:val="24"/>
          <w:szCs w:val="24"/>
        </w:rPr>
        <w:t>S.A. Harrison, W. Fecht, E.M. Brunt, B.A. Neuschwander-TetriOrlistat for overweight subjects with nonalcoholic steatohepatitis: a randomized, prospective trial</w:t>
      </w:r>
    </w:p>
    <w:p w:rsidR="00541BEF" w:rsidRPr="009D1F44" w:rsidRDefault="00541BEF" w:rsidP="00541BEF">
      <w:pPr>
        <w:spacing w:after="0" w:line="240" w:lineRule="auto"/>
        <w:rPr>
          <w:rFonts w:asciiTheme="majorBidi" w:eastAsia="Times New Roman" w:hAnsiTheme="majorBidi" w:cstheme="majorBidi"/>
          <w:color w:val="000000" w:themeColor="text1"/>
          <w:sz w:val="24"/>
          <w:szCs w:val="24"/>
        </w:rPr>
      </w:pPr>
      <w:r w:rsidRPr="009D1F44">
        <w:rPr>
          <w:rFonts w:asciiTheme="majorBidi" w:eastAsia="Times New Roman" w:hAnsiTheme="majorBidi" w:cstheme="majorBidi"/>
          <w:color w:val="000000" w:themeColor="text1"/>
          <w:sz w:val="24"/>
          <w:szCs w:val="24"/>
        </w:rPr>
        <w:t>Hepatology, 49 (2009), pp. 80-86</w:t>
      </w:r>
      <w:r w:rsidR="009D1F44" w:rsidRPr="009D1F44">
        <w:rPr>
          <w:rFonts w:asciiTheme="majorBidi" w:eastAsia="Times New Roman" w:hAnsiTheme="majorBidi" w:cstheme="majorBidi"/>
          <w:color w:val="000000" w:themeColor="text1"/>
          <w:sz w:val="24"/>
          <w:szCs w:val="24"/>
        </w:rPr>
        <w:t>.</w:t>
      </w:r>
      <w:r w:rsidRPr="009D1F44">
        <w:rPr>
          <w:rFonts w:asciiTheme="majorBidi" w:eastAsia="Times New Roman" w:hAnsiTheme="majorBidi" w:cstheme="majorBidi"/>
          <w:color w:val="000000" w:themeColor="text1"/>
          <w:sz w:val="24"/>
          <w:szCs w:val="24"/>
        </w:rPr>
        <w:br/>
      </w:r>
    </w:p>
    <w:p w:rsidR="00541BEF" w:rsidRPr="009D1F44" w:rsidRDefault="00541BEF" w:rsidP="00541BEF">
      <w:pPr>
        <w:spacing w:after="0" w:line="240" w:lineRule="auto"/>
        <w:rPr>
          <w:rFonts w:asciiTheme="majorBidi" w:eastAsia="Times New Roman" w:hAnsiTheme="majorBidi" w:cstheme="majorBidi"/>
          <w:color w:val="000000" w:themeColor="text1"/>
          <w:sz w:val="24"/>
          <w:szCs w:val="24"/>
        </w:rPr>
      </w:pPr>
    </w:p>
    <w:p w:rsidR="00541BEF" w:rsidRPr="009D1F44" w:rsidRDefault="00007DBD" w:rsidP="00541BEF">
      <w:pPr>
        <w:spacing w:after="0" w:line="240" w:lineRule="auto"/>
        <w:rPr>
          <w:rFonts w:asciiTheme="majorBidi" w:eastAsia="Times New Roman" w:hAnsiTheme="majorBidi" w:cstheme="majorBidi"/>
          <w:color w:val="000000" w:themeColor="text1"/>
          <w:sz w:val="24"/>
          <w:szCs w:val="24"/>
        </w:rPr>
      </w:pPr>
      <w:r w:rsidRPr="009D1F44">
        <w:rPr>
          <w:rFonts w:asciiTheme="majorBidi" w:hAnsiTheme="majorBidi" w:cstheme="majorBidi"/>
          <w:color w:val="000000" w:themeColor="text1"/>
          <w:sz w:val="24"/>
          <w:szCs w:val="24"/>
        </w:rPr>
        <w:t xml:space="preserve"> </w:t>
      </w:r>
      <w:r w:rsidR="00541BEF" w:rsidRPr="009D1F44">
        <w:rPr>
          <w:rFonts w:asciiTheme="majorBidi" w:hAnsiTheme="majorBidi" w:cstheme="majorBidi"/>
          <w:color w:val="000000" w:themeColor="text1"/>
          <w:sz w:val="24"/>
          <w:szCs w:val="24"/>
        </w:rPr>
        <w:t>[</w:t>
      </w:r>
      <w:r w:rsidR="00541BEF" w:rsidRPr="009D1F44">
        <w:rPr>
          <w:rFonts w:asciiTheme="majorBidi" w:eastAsia="Times New Roman" w:hAnsiTheme="majorBidi" w:cstheme="majorBidi"/>
          <w:color w:val="000000" w:themeColor="text1"/>
          <w:sz w:val="24"/>
          <w:szCs w:val="24"/>
        </w:rPr>
        <w:t>23</w:t>
      </w:r>
      <w:r w:rsidR="00541BEF" w:rsidRPr="009D1F44">
        <w:rPr>
          <w:rFonts w:asciiTheme="majorBidi" w:hAnsiTheme="majorBidi" w:cstheme="majorBidi"/>
          <w:color w:val="000000" w:themeColor="text1"/>
          <w:sz w:val="24"/>
          <w:szCs w:val="24"/>
        </w:rPr>
        <w:t>]</w:t>
      </w:r>
      <w:r w:rsidR="0091755A">
        <w:rPr>
          <w:rFonts w:asciiTheme="majorBidi" w:hAnsiTheme="majorBidi" w:cstheme="majorBidi"/>
          <w:color w:val="000000" w:themeColor="text1"/>
          <w:sz w:val="24"/>
          <w:szCs w:val="24"/>
        </w:rPr>
        <w:t xml:space="preserve"> </w:t>
      </w:r>
      <w:r w:rsidR="00541BEF" w:rsidRPr="009D1F44">
        <w:rPr>
          <w:rFonts w:asciiTheme="majorBidi" w:eastAsia="Times New Roman" w:hAnsiTheme="majorBidi" w:cstheme="majorBidi"/>
          <w:color w:val="000000" w:themeColor="text1"/>
          <w:sz w:val="24"/>
          <w:szCs w:val="24"/>
        </w:rPr>
        <w:t xml:space="preserve">E. Centis, S. Moscatiello, E. Bugianesi, S. Bellentani, A.L. Fracanzani, S. Calugi, </w:t>
      </w:r>
      <w:r w:rsidR="00541BEF" w:rsidRPr="009D1F44">
        <w:rPr>
          <w:rFonts w:asciiTheme="majorBidi" w:eastAsia="Times New Roman" w:hAnsiTheme="majorBidi" w:cstheme="majorBidi"/>
          <w:i/>
          <w:iCs/>
          <w:color w:val="000000" w:themeColor="text1"/>
          <w:sz w:val="24"/>
          <w:szCs w:val="24"/>
        </w:rPr>
        <w:t>et al.</w:t>
      </w:r>
      <w:r w:rsidR="00541BEF" w:rsidRPr="009D1F44">
        <w:rPr>
          <w:rFonts w:asciiTheme="majorBidi" w:eastAsia="Times New Roman" w:hAnsiTheme="majorBidi" w:cstheme="majorBidi"/>
          <w:color w:val="000000" w:themeColor="text1"/>
          <w:sz w:val="24"/>
          <w:szCs w:val="24"/>
        </w:rPr>
        <w:t>Stage of change and motivation to healthier lifestyle in non-alcoholic fatty liver disease</w:t>
      </w:r>
    </w:p>
    <w:p w:rsidR="00007DBD" w:rsidRPr="009D1F44" w:rsidRDefault="00541BEF" w:rsidP="00007DBD">
      <w:pPr>
        <w:spacing w:after="0" w:line="240" w:lineRule="auto"/>
        <w:rPr>
          <w:rFonts w:asciiTheme="majorBidi" w:eastAsia="Times New Roman" w:hAnsiTheme="majorBidi" w:cstheme="majorBidi"/>
          <w:color w:val="000000" w:themeColor="text1"/>
          <w:sz w:val="24"/>
          <w:szCs w:val="24"/>
        </w:rPr>
      </w:pPr>
      <w:r w:rsidRPr="009D1F44">
        <w:rPr>
          <w:rFonts w:asciiTheme="majorBidi" w:eastAsia="Times New Roman" w:hAnsiTheme="majorBidi" w:cstheme="majorBidi"/>
          <w:color w:val="000000" w:themeColor="text1"/>
          <w:sz w:val="24"/>
          <w:szCs w:val="24"/>
        </w:rPr>
        <w:lastRenderedPageBreak/>
        <w:t>J Hepatol, 58 (2014), pp. 771-777</w:t>
      </w:r>
      <w:r w:rsidR="00007DBD" w:rsidRPr="009D1F44">
        <w:rPr>
          <w:rFonts w:asciiTheme="majorBidi" w:eastAsia="Times New Roman" w:hAnsiTheme="majorBidi" w:cstheme="majorBidi"/>
          <w:color w:val="000000" w:themeColor="text1"/>
          <w:sz w:val="24"/>
          <w:szCs w:val="24"/>
        </w:rPr>
        <w:t>.</w:t>
      </w:r>
      <w:r w:rsidR="00007DBD" w:rsidRPr="009D1F44">
        <w:rPr>
          <w:rFonts w:asciiTheme="majorBidi" w:eastAsia="Times New Roman" w:hAnsiTheme="majorBidi" w:cstheme="majorBidi"/>
          <w:color w:val="000000" w:themeColor="text1"/>
          <w:sz w:val="24"/>
          <w:szCs w:val="24"/>
        </w:rPr>
        <w:br/>
      </w:r>
      <w:r w:rsidR="00007DBD" w:rsidRPr="009D1F44">
        <w:rPr>
          <w:rFonts w:asciiTheme="majorBidi" w:eastAsia="Times New Roman" w:hAnsiTheme="majorBidi" w:cstheme="majorBidi"/>
          <w:color w:val="000000" w:themeColor="text1"/>
          <w:sz w:val="24"/>
          <w:szCs w:val="24"/>
        </w:rPr>
        <w:br/>
      </w:r>
      <w:r w:rsidRPr="009D1F44">
        <w:rPr>
          <w:rFonts w:asciiTheme="majorBidi" w:hAnsiTheme="majorBidi" w:cstheme="majorBidi"/>
          <w:color w:val="000000" w:themeColor="text1"/>
          <w:sz w:val="24"/>
          <w:szCs w:val="24"/>
        </w:rPr>
        <w:t>[24]</w:t>
      </w:r>
      <w:r w:rsidR="0091755A">
        <w:rPr>
          <w:rFonts w:asciiTheme="majorBidi" w:hAnsiTheme="majorBidi" w:cstheme="majorBidi"/>
          <w:color w:val="000000" w:themeColor="text1"/>
          <w:sz w:val="24"/>
          <w:szCs w:val="24"/>
        </w:rPr>
        <w:t xml:space="preserve"> </w:t>
      </w:r>
      <w:r w:rsidRPr="009D1F44">
        <w:rPr>
          <w:rFonts w:asciiTheme="majorBidi" w:hAnsiTheme="majorBidi" w:cstheme="majorBidi"/>
          <w:color w:val="000000" w:themeColor="text1"/>
          <w:sz w:val="24"/>
          <w:szCs w:val="24"/>
        </w:rPr>
        <w:t xml:space="preserve">A. St George, A. Bauman, A. Johnston, G. Farrell, T. Chey, J. </w:t>
      </w:r>
      <w:r w:rsidRPr="00B2136C">
        <w:rPr>
          <w:rFonts w:asciiTheme="majorBidi" w:hAnsiTheme="majorBidi" w:cstheme="majorBidi"/>
          <w:color w:val="000000" w:themeColor="text1"/>
          <w:sz w:val="24"/>
          <w:szCs w:val="24"/>
        </w:rPr>
        <w:t>George</w:t>
      </w:r>
      <w:r w:rsidRPr="00B2136C">
        <w:rPr>
          <w:rStyle w:val="Strong"/>
          <w:rFonts w:asciiTheme="majorBidi" w:hAnsiTheme="majorBidi" w:cstheme="majorBidi"/>
          <w:b w:val="0"/>
          <w:bCs w:val="0"/>
          <w:color w:val="000000" w:themeColor="text1"/>
          <w:sz w:val="24"/>
          <w:szCs w:val="24"/>
        </w:rPr>
        <w:t>Independent effects of physical activity in patients with nonalcoholic fatty liver disease</w:t>
      </w:r>
      <w:r w:rsidR="00007DBD" w:rsidRPr="009D1F44">
        <w:rPr>
          <w:rFonts w:asciiTheme="majorBidi" w:hAnsiTheme="majorBidi" w:cstheme="majorBidi"/>
          <w:color w:val="000000" w:themeColor="text1"/>
          <w:sz w:val="24"/>
          <w:szCs w:val="24"/>
        </w:rPr>
        <w:t xml:space="preserve"> </w:t>
      </w:r>
      <w:r w:rsidR="00007DBD" w:rsidRPr="009D1F44">
        <w:rPr>
          <w:rFonts w:asciiTheme="majorBidi" w:hAnsiTheme="majorBidi" w:cstheme="majorBidi"/>
          <w:color w:val="000000" w:themeColor="text1"/>
          <w:sz w:val="24"/>
          <w:szCs w:val="24"/>
        </w:rPr>
        <w:t>Hepatology, 50 (2009), pp. 68-76</w:t>
      </w:r>
      <w:r w:rsidR="009D1F44" w:rsidRPr="009D1F44">
        <w:rPr>
          <w:rFonts w:asciiTheme="majorBidi" w:hAnsiTheme="majorBidi" w:cstheme="majorBidi"/>
          <w:color w:val="000000" w:themeColor="text1"/>
          <w:sz w:val="24"/>
          <w:szCs w:val="24"/>
        </w:rPr>
        <w:t>.</w:t>
      </w:r>
    </w:p>
    <w:p w:rsidR="00541BEF" w:rsidRPr="009D1F44" w:rsidRDefault="00541BEF" w:rsidP="00007DBD">
      <w:pPr>
        <w:rPr>
          <w:rFonts w:asciiTheme="majorBidi" w:hAnsiTheme="majorBidi" w:cstheme="majorBidi"/>
          <w:color w:val="000000" w:themeColor="text1"/>
          <w:sz w:val="24"/>
          <w:szCs w:val="24"/>
        </w:rPr>
      </w:pPr>
    </w:p>
    <w:p w:rsidR="00007DBD" w:rsidRPr="009D1F44" w:rsidRDefault="00007DBD" w:rsidP="00007DBD">
      <w:pPr>
        <w:rPr>
          <w:rFonts w:asciiTheme="majorBidi" w:hAnsiTheme="majorBidi" w:cstheme="majorBidi"/>
          <w:color w:val="000000" w:themeColor="text1"/>
          <w:sz w:val="24"/>
          <w:szCs w:val="24"/>
        </w:rPr>
      </w:pPr>
      <w:r w:rsidRPr="009D1F44">
        <w:rPr>
          <w:rFonts w:asciiTheme="majorBidi" w:hAnsiTheme="majorBidi" w:cstheme="majorBidi"/>
          <w:color w:val="000000" w:themeColor="text1"/>
          <w:sz w:val="24"/>
          <w:szCs w:val="24"/>
        </w:rPr>
        <w:t xml:space="preserve"> </w:t>
      </w:r>
      <w:r w:rsidR="00541BEF" w:rsidRPr="009D1F44">
        <w:rPr>
          <w:rFonts w:asciiTheme="majorBidi" w:hAnsiTheme="majorBidi" w:cstheme="majorBidi"/>
          <w:color w:val="000000" w:themeColor="text1"/>
          <w:sz w:val="24"/>
          <w:szCs w:val="24"/>
        </w:rPr>
        <w:t>[25]</w:t>
      </w:r>
      <w:r w:rsidR="0091755A">
        <w:rPr>
          <w:rFonts w:asciiTheme="majorBidi" w:hAnsiTheme="majorBidi" w:cstheme="majorBidi"/>
          <w:color w:val="000000" w:themeColor="text1"/>
          <w:sz w:val="24"/>
          <w:szCs w:val="24"/>
        </w:rPr>
        <w:t xml:space="preserve"> </w:t>
      </w:r>
      <w:r w:rsidR="00541BEF" w:rsidRPr="009D1F44">
        <w:rPr>
          <w:rFonts w:asciiTheme="majorBidi" w:hAnsiTheme="majorBidi" w:cstheme="majorBidi"/>
          <w:color w:val="000000" w:themeColor="text1"/>
          <w:sz w:val="24"/>
          <w:szCs w:val="24"/>
        </w:rPr>
        <w:t>G. Perseghin, G. Lattuada, F. De Cobelli, F. Ragogna, G. Ntali, A. Esposito</w:t>
      </w:r>
      <w:r w:rsidR="00541BEF" w:rsidRPr="009D1F44">
        <w:rPr>
          <w:rFonts w:asciiTheme="majorBidi" w:hAnsiTheme="majorBidi" w:cstheme="majorBidi"/>
          <w:i/>
          <w:iCs/>
          <w:color w:val="000000" w:themeColor="text1"/>
          <w:sz w:val="24"/>
          <w:szCs w:val="24"/>
        </w:rPr>
        <w:t xml:space="preserve">, </w:t>
      </w:r>
      <w:r w:rsidR="00541BEF" w:rsidRPr="009D1F44">
        <w:rPr>
          <w:rStyle w:val="Emphasis"/>
          <w:rFonts w:asciiTheme="majorBidi" w:hAnsiTheme="majorBidi" w:cstheme="majorBidi"/>
          <w:i w:val="0"/>
          <w:iCs w:val="0"/>
          <w:color w:val="000000" w:themeColor="text1"/>
          <w:sz w:val="24"/>
          <w:szCs w:val="24"/>
        </w:rPr>
        <w:t>et al</w:t>
      </w:r>
      <w:r w:rsidR="00541BEF" w:rsidRPr="009D1F44">
        <w:rPr>
          <w:rStyle w:val="Emphasis"/>
          <w:rFonts w:asciiTheme="majorBidi" w:hAnsiTheme="majorBidi" w:cstheme="majorBidi"/>
          <w:color w:val="000000" w:themeColor="text1"/>
          <w:sz w:val="24"/>
          <w:szCs w:val="24"/>
        </w:rPr>
        <w:t>.</w:t>
      </w:r>
      <w:r w:rsidR="00541BEF" w:rsidRPr="009D1F44">
        <w:rPr>
          <w:rStyle w:val="Strong"/>
          <w:rFonts w:asciiTheme="majorBidi" w:hAnsiTheme="majorBidi" w:cstheme="majorBidi"/>
          <w:b w:val="0"/>
          <w:bCs w:val="0"/>
          <w:color w:val="000000" w:themeColor="text1"/>
          <w:sz w:val="24"/>
          <w:szCs w:val="24"/>
        </w:rPr>
        <w:t>Habitual physical activity is associated with intrahepatic fat content in humans</w:t>
      </w:r>
      <w:r w:rsidRPr="009D1F44">
        <w:rPr>
          <w:rFonts w:asciiTheme="majorBidi" w:hAnsiTheme="majorBidi" w:cstheme="majorBidi"/>
          <w:color w:val="000000" w:themeColor="text1"/>
          <w:sz w:val="24"/>
          <w:szCs w:val="24"/>
        </w:rPr>
        <w:t xml:space="preserve"> </w:t>
      </w:r>
      <w:r w:rsidRPr="009D1F44">
        <w:rPr>
          <w:rFonts w:asciiTheme="majorBidi" w:hAnsiTheme="majorBidi" w:cstheme="majorBidi"/>
          <w:color w:val="000000" w:themeColor="text1"/>
          <w:sz w:val="24"/>
          <w:szCs w:val="24"/>
        </w:rPr>
        <w:t>Diabetes Care, 30 (2007), pp. 683-688</w:t>
      </w:r>
      <w:r w:rsidR="009D1F44" w:rsidRPr="009D1F44">
        <w:rPr>
          <w:rFonts w:asciiTheme="majorBidi" w:hAnsiTheme="majorBidi" w:cstheme="majorBidi"/>
          <w:color w:val="000000" w:themeColor="text1"/>
          <w:sz w:val="24"/>
          <w:szCs w:val="24"/>
        </w:rPr>
        <w:t>.</w:t>
      </w:r>
    </w:p>
    <w:p w:rsidR="00541BEF" w:rsidRPr="009D1F44" w:rsidRDefault="00541BEF" w:rsidP="00007DBD">
      <w:pPr>
        <w:rPr>
          <w:rFonts w:asciiTheme="majorBidi" w:hAnsiTheme="majorBidi" w:cstheme="majorBidi"/>
          <w:color w:val="000000" w:themeColor="text1"/>
          <w:sz w:val="24"/>
          <w:szCs w:val="24"/>
        </w:rPr>
      </w:pPr>
    </w:p>
    <w:p w:rsidR="00007DBD" w:rsidRPr="009D1F44" w:rsidRDefault="00541BEF" w:rsidP="00007DBD">
      <w:pPr>
        <w:rPr>
          <w:rFonts w:asciiTheme="majorBidi" w:hAnsiTheme="majorBidi" w:cstheme="majorBidi"/>
          <w:color w:val="000000" w:themeColor="text1"/>
          <w:sz w:val="24"/>
          <w:szCs w:val="24"/>
        </w:rPr>
      </w:pPr>
      <w:r w:rsidRPr="009D1F44">
        <w:rPr>
          <w:rFonts w:asciiTheme="majorBidi" w:hAnsiTheme="majorBidi" w:cstheme="majorBidi"/>
          <w:color w:val="000000" w:themeColor="text1"/>
          <w:sz w:val="24"/>
          <w:szCs w:val="24"/>
        </w:rPr>
        <w:t>[26]</w:t>
      </w:r>
      <w:r w:rsidR="0091755A">
        <w:rPr>
          <w:rFonts w:asciiTheme="majorBidi" w:hAnsiTheme="majorBidi" w:cstheme="majorBidi"/>
          <w:color w:val="000000" w:themeColor="text1"/>
          <w:sz w:val="24"/>
          <w:szCs w:val="24"/>
        </w:rPr>
        <w:t xml:space="preserve"> </w:t>
      </w:r>
      <w:r w:rsidRPr="009D1F44">
        <w:rPr>
          <w:rFonts w:asciiTheme="majorBidi" w:hAnsiTheme="majorBidi" w:cstheme="majorBidi"/>
          <w:color w:val="000000" w:themeColor="text1"/>
          <w:sz w:val="24"/>
          <w:szCs w:val="24"/>
        </w:rPr>
        <w:t xml:space="preserve">N.A. Johnson, T. Sachinwalla, D.W. Walton, K. Smith, A. Armstrong, M.W. Thompson, </w:t>
      </w:r>
      <w:r w:rsidRPr="009D1F44">
        <w:rPr>
          <w:rStyle w:val="Emphasis"/>
          <w:rFonts w:asciiTheme="majorBidi" w:hAnsiTheme="majorBidi" w:cstheme="majorBidi"/>
          <w:color w:val="000000" w:themeColor="text1"/>
          <w:sz w:val="24"/>
          <w:szCs w:val="24"/>
        </w:rPr>
        <w:t xml:space="preserve">et </w:t>
      </w:r>
      <w:r w:rsidRPr="009D1F44">
        <w:rPr>
          <w:rStyle w:val="Emphasis"/>
          <w:rFonts w:asciiTheme="majorBidi" w:hAnsiTheme="majorBidi" w:cstheme="majorBidi"/>
          <w:i w:val="0"/>
          <w:iCs w:val="0"/>
          <w:color w:val="000000" w:themeColor="text1"/>
          <w:sz w:val="24"/>
          <w:szCs w:val="24"/>
        </w:rPr>
        <w:t>al.</w:t>
      </w:r>
      <w:r w:rsidRPr="009D1F44">
        <w:rPr>
          <w:rStyle w:val="Strong"/>
          <w:rFonts w:asciiTheme="majorBidi" w:hAnsiTheme="majorBidi" w:cstheme="majorBidi"/>
          <w:b w:val="0"/>
          <w:bCs w:val="0"/>
          <w:color w:val="000000" w:themeColor="text1"/>
          <w:sz w:val="24"/>
          <w:szCs w:val="24"/>
        </w:rPr>
        <w:t>Aerobic exercise training reduces hepatic and visceral lipids in obese individuals without weight loss</w:t>
      </w:r>
      <w:r w:rsidR="00007DBD" w:rsidRPr="009D1F44">
        <w:rPr>
          <w:rFonts w:asciiTheme="majorBidi" w:hAnsiTheme="majorBidi" w:cstheme="majorBidi"/>
          <w:color w:val="000000" w:themeColor="text1"/>
          <w:sz w:val="24"/>
          <w:szCs w:val="24"/>
        </w:rPr>
        <w:t xml:space="preserve"> </w:t>
      </w:r>
      <w:r w:rsidR="00007DBD" w:rsidRPr="009D1F44">
        <w:rPr>
          <w:rFonts w:asciiTheme="majorBidi" w:hAnsiTheme="majorBidi" w:cstheme="majorBidi"/>
          <w:color w:val="000000" w:themeColor="text1"/>
          <w:sz w:val="24"/>
          <w:szCs w:val="24"/>
        </w:rPr>
        <w:t>Hepatology, 50 (2009), pp. 1105-1112</w:t>
      </w:r>
      <w:r w:rsidR="009D1F44" w:rsidRPr="009D1F44">
        <w:rPr>
          <w:rFonts w:asciiTheme="majorBidi" w:hAnsiTheme="majorBidi" w:cstheme="majorBidi"/>
          <w:color w:val="000000" w:themeColor="text1"/>
          <w:sz w:val="24"/>
          <w:szCs w:val="24"/>
        </w:rPr>
        <w:t>.</w:t>
      </w:r>
    </w:p>
    <w:p w:rsidR="00007DBD" w:rsidRPr="009D1F44" w:rsidRDefault="00007DBD" w:rsidP="00007DBD">
      <w:pPr>
        <w:rPr>
          <w:rFonts w:asciiTheme="majorBidi" w:hAnsiTheme="majorBidi" w:cstheme="majorBidi"/>
          <w:color w:val="000000" w:themeColor="text1"/>
          <w:sz w:val="24"/>
          <w:szCs w:val="24"/>
        </w:rPr>
      </w:pPr>
      <w:r w:rsidRPr="009D1F44">
        <w:rPr>
          <w:rFonts w:asciiTheme="majorBidi" w:hAnsiTheme="majorBidi" w:cstheme="majorBidi"/>
          <w:color w:val="000000" w:themeColor="text1"/>
          <w:sz w:val="24"/>
          <w:szCs w:val="24"/>
        </w:rPr>
        <w:t xml:space="preserve"> </w:t>
      </w:r>
      <w:r w:rsidR="00541BEF" w:rsidRPr="009D1F44">
        <w:rPr>
          <w:rFonts w:asciiTheme="majorBidi" w:hAnsiTheme="majorBidi" w:cstheme="majorBidi"/>
          <w:color w:val="000000" w:themeColor="text1"/>
          <w:sz w:val="24"/>
          <w:szCs w:val="24"/>
        </w:rPr>
        <w:t>[27]</w:t>
      </w:r>
      <w:r w:rsidR="0091755A">
        <w:rPr>
          <w:rFonts w:asciiTheme="majorBidi" w:hAnsiTheme="majorBidi" w:cstheme="majorBidi"/>
          <w:color w:val="000000" w:themeColor="text1"/>
          <w:sz w:val="24"/>
          <w:szCs w:val="24"/>
        </w:rPr>
        <w:t xml:space="preserve"> </w:t>
      </w:r>
      <w:r w:rsidR="00541BEF" w:rsidRPr="009D1F44">
        <w:rPr>
          <w:rFonts w:asciiTheme="majorBidi" w:hAnsiTheme="majorBidi" w:cstheme="majorBidi"/>
          <w:color w:val="000000" w:themeColor="text1"/>
          <w:sz w:val="24"/>
          <w:szCs w:val="24"/>
        </w:rPr>
        <w:t xml:space="preserve">C. Sreenivasa Baba, G. Alexander, B. Kalyani, R. Pandey, S. Rastogi, A. Pandey, </w:t>
      </w:r>
      <w:r w:rsidR="00541BEF" w:rsidRPr="009D1F44">
        <w:rPr>
          <w:rStyle w:val="Emphasis"/>
          <w:rFonts w:asciiTheme="majorBidi" w:hAnsiTheme="majorBidi" w:cstheme="majorBidi"/>
          <w:color w:val="000000" w:themeColor="text1"/>
          <w:sz w:val="24"/>
          <w:szCs w:val="24"/>
        </w:rPr>
        <w:t xml:space="preserve">et </w:t>
      </w:r>
      <w:r w:rsidR="00541BEF" w:rsidRPr="009D1F44">
        <w:rPr>
          <w:rStyle w:val="Emphasis"/>
          <w:rFonts w:asciiTheme="majorBidi" w:hAnsiTheme="majorBidi" w:cstheme="majorBidi"/>
          <w:i w:val="0"/>
          <w:iCs w:val="0"/>
          <w:color w:val="000000" w:themeColor="text1"/>
          <w:sz w:val="24"/>
          <w:szCs w:val="24"/>
        </w:rPr>
        <w:t>al.</w:t>
      </w:r>
      <w:r w:rsidR="00541BEF" w:rsidRPr="009D1F44">
        <w:rPr>
          <w:rStyle w:val="Strong"/>
          <w:rFonts w:asciiTheme="majorBidi" w:hAnsiTheme="majorBidi" w:cstheme="majorBidi"/>
          <w:b w:val="0"/>
          <w:bCs w:val="0"/>
          <w:color w:val="000000" w:themeColor="text1"/>
          <w:sz w:val="24"/>
          <w:szCs w:val="24"/>
        </w:rPr>
        <w:t>Effect of exercise and dietary modification on serum aminotransferase levels in patients with nonalcoholic steatohepatitis</w:t>
      </w:r>
      <w:r w:rsidRPr="009D1F44">
        <w:rPr>
          <w:rFonts w:asciiTheme="majorBidi" w:hAnsiTheme="majorBidi" w:cstheme="majorBidi"/>
          <w:color w:val="000000" w:themeColor="text1"/>
          <w:sz w:val="24"/>
          <w:szCs w:val="24"/>
        </w:rPr>
        <w:t xml:space="preserve"> </w:t>
      </w:r>
      <w:r w:rsidRPr="009D1F44">
        <w:rPr>
          <w:rFonts w:asciiTheme="majorBidi" w:hAnsiTheme="majorBidi" w:cstheme="majorBidi"/>
          <w:color w:val="000000" w:themeColor="text1"/>
          <w:sz w:val="24"/>
          <w:szCs w:val="24"/>
        </w:rPr>
        <w:t>J Gastroenterol Hepatol, 21 (2006), pp. 191-198</w:t>
      </w:r>
      <w:r w:rsidR="009D1F44" w:rsidRPr="009D1F44">
        <w:rPr>
          <w:rFonts w:asciiTheme="majorBidi" w:hAnsiTheme="majorBidi" w:cstheme="majorBidi"/>
          <w:color w:val="000000" w:themeColor="text1"/>
          <w:sz w:val="24"/>
          <w:szCs w:val="24"/>
        </w:rPr>
        <w:t>.</w:t>
      </w:r>
    </w:p>
    <w:p w:rsidR="00541BEF" w:rsidRDefault="00541BEF" w:rsidP="00007DBD">
      <w:pPr>
        <w:rPr>
          <w:rFonts w:asciiTheme="majorBidi" w:hAnsiTheme="majorBidi" w:cstheme="majorBidi"/>
          <w:color w:val="000000" w:themeColor="text1"/>
          <w:sz w:val="24"/>
          <w:szCs w:val="24"/>
        </w:rPr>
      </w:pPr>
    </w:p>
    <w:p w:rsidR="00B2136C" w:rsidRPr="009D1F44" w:rsidRDefault="00B2136C" w:rsidP="00007DBD">
      <w:pPr>
        <w:rPr>
          <w:rFonts w:asciiTheme="majorBidi" w:hAnsiTheme="majorBidi" w:cstheme="majorBidi"/>
          <w:color w:val="000000" w:themeColor="text1"/>
          <w:sz w:val="24"/>
          <w:szCs w:val="24"/>
        </w:rPr>
      </w:pPr>
    </w:p>
    <w:p w:rsidR="00007DBD" w:rsidRPr="00C521C3" w:rsidRDefault="00007DBD" w:rsidP="0091755A">
      <w:pPr>
        <w:ind w:right="-144"/>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[28]</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K. Hallsworth, G. Fattakhova, K.G. Hollingsworth, C. Thoma, S. Moore, R. Taylor, </w:t>
      </w:r>
      <w:r w:rsidR="00541BEF" w:rsidRPr="00C521C3">
        <w:rPr>
          <w:rStyle w:val="Emphasis"/>
          <w:rFonts w:asciiTheme="majorBidi" w:hAnsiTheme="majorBidi" w:cstheme="majorBidi"/>
          <w:color w:val="000000" w:themeColor="text1"/>
          <w:sz w:val="24"/>
          <w:szCs w:val="24"/>
        </w:rPr>
        <w:t>et al.</w:t>
      </w:r>
      <w:r w:rsidR="00541BEF" w:rsidRPr="009D1F44">
        <w:rPr>
          <w:rStyle w:val="Strong"/>
          <w:rFonts w:asciiTheme="majorBidi" w:hAnsiTheme="majorBidi" w:cstheme="majorBidi"/>
          <w:b w:val="0"/>
          <w:bCs w:val="0"/>
          <w:color w:val="000000" w:themeColor="text1"/>
          <w:sz w:val="24"/>
          <w:szCs w:val="24"/>
        </w:rPr>
        <w:t>Resistance exercise reduces liver fat and its mediators in non-alcoholic fatty liver disease independent of weight loss</w:t>
      </w:r>
      <w:r w:rsidRPr="00007DBD">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Gut, 60 (2011), pp. 1278-1283</w:t>
      </w:r>
      <w:r w:rsidR="00B2136C">
        <w:rPr>
          <w:rFonts w:asciiTheme="majorBidi" w:hAnsiTheme="majorBidi" w:cstheme="majorBidi"/>
          <w:color w:val="000000" w:themeColor="text1"/>
          <w:sz w:val="24"/>
          <w:szCs w:val="24"/>
        </w:rPr>
        <w:t>.</w:t>
      </w:r>
    </w:p>
    <w:p w:rsidR="00541BEF" w:rsidRPr="00C521C3" w:rsidRDefault="00541BEF" w:rsidP="00541BEF">
      <w:pPr>
        <w:ind w:left="720"/>
        <w:rPr>
          <w:rFonts w:asciiTheme="majorBidi" w:hAnsiTheme="majorBidi" w:cstheme="majorBidi"/>
          <w:color w:val="000000" w:themeColor="text1"/>
          <w:sz w:val="24"/>
          <w:szCs w:val="24"/>
        </w:rPr>
      </w:pPr>
    </w:p>
    <w:p w:rsidR="00007DBD" w:rsidRPr="00C521C3" w:rsidRDefault="00007DBD"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[29]</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K. Hallsworth, G. Fattakhova, K.G. Hollingsworth, C. Thoma, S. Moore, R. Taylor, </w:t>
      </w:r>
      <w:r w:rsidR="00541BEF" w:rsidRPr="00C521C3">
        <w:rPr>
          <w:rStyle w:val="Emphasis"/>
          <w:rFonts w:asciiTheme="majorBidi" w:hAnsiTheme="majorBidi" w:cstheme="majorBidi"/>
          <w:color w:val="000000" w:themeColor="text1"/>
          <w:sz w:val="24"/>
          <w:szCs w:val="24"/>
        </w:rPr>
        <w:t>et al.</w:t>
      </w:r>
      <w:r w:rsidR="00541BEF" w:rsidRPr="009D1F44">
        <w:rPr>
          <w:rStyle w:val="Strong"/>
          <w:rFonts w:asciiTheme="majorBidi" w:hAnsiTheme="majorBidi" w:cstheme="majorBidi"/>
          <w:b w:val="0"/>
          <w:bCs w:val="0"/>
          <w:color w:val="000000" w:themeColor="text1"/>
          <w:sz w:val="24"/>
          <w:szCs w:val="24"/>
        </w:rPr>
        <w:t>Resistance exercise reduces liver fat and its mediators in non-alcoholic fatty liver disease independent of weight loss</w:t>
      </w:r>
      <w:r w:rsidRPr="00007DBD">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Gut, 60 (2011), pp. 1278-1283</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007DBD" w:rsidRPr="00C521C3" w:rsidRDefault="00007DBD"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[30]</w:t>
      </w:r>
      <w:r w:rsidR="0091755A">
        <w:rPr>
          <w:rFonts w:asciiTheme="majorBidi" w:hAnsiTheme="majorBidi" w:cstheme="majorBidi"/>
          <w:color w:val="000000" w:themeColor="text1"/>
          <w:sz w:val="24"/>
          <w:szCs w:val="24"/>
        </w:rPr>
        <w:t xml:space="preserve"> </w:t>
      </w:r>
      <w:r w:rsidR="009D1F44">
        <w:rPr>
          <w:rFonts w:asciiTheme="majorBidi" w:hAnsiTheme="majorBidi" w:cstheme="majorBidi"/>
          <w:color w:val="000000" w:themeColor="text1"/>
          <w:sz w:val="24"/>
          <w:szCs w:val="24"/>
        </w:rPr>
        <w:t>M.C. Ryan, P. Desmond, A.</w:t>
      </w:r>
      <w:r w:rsidR="00541BEF" w:rsidRPr="009D1F44">
        <w:rPr>
          <w:rFonts w:asciiTheme="majorBidi" w:hAnsiTheme="majorBidi" w:cstheme="majorBidi"/>
          <w:color w:val="000000" w:themeColor="text1"/>
          <w:sz w:val="24"/>
          <w:szCs w:val="24"/>
        </w:rPr>
        <w:t>Wilson</w:t>
      </w:r>
      <w:r w:rsidR="00541BEF" w:rsidRPr="009D1F44">
        <w:rPr>
          <w:rStyle w:val="Strong"/>
          <w:rFonts w:asciiTheme="majorBidi" w:hAnsiTheme="majorBidi" w:cstheme="majorBidi"/>
          <w:b w:val="0"/>
          <w:bCs w:val="0"/>
          <w:color w:val="000000" w:themeColor="text1"/>
          <w:sz w:val="24"/>
          <w:szCs w:val="24"/>
        </w:rPr>
        <w:t>Reply to: "might some of the beneficial effects of the Mediterranean diet on non-alcoholic fatty liver disease be mediated by reduced iron stores?"</w:t>
      </w:r>
      <w:r w:rsidRPr="00007DBD">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J Hepatol, 59 (2013), p. 640</w:t>
      </w:r>
      <w:r w:rsidR="009D1F44">
        <w:rPr>
          <w:rFonts w:asciiTheme="majorBidi" w:hAnsiTheme="majorBidi" w:cstheme="majorBidi"/>
          <w:color w:val="000000" w:themeColor="text1"/>
          <w:sz w:val="24"/>
          <w:szCs w:val="24"/>
        </w:rPr>
        <w:t>.</w:t>
      </w:r>
    </w:p>
    <w:p w:rsidR="00007DBD" w:rsidRPr="00C521C3" w:rsidRDefault="00007DBD"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[31]</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G. Musso, R. Gambino, F. De Michieli, M. Cassader, M. Rizzetto, M. Durazzo, </w:t>
      </w:r>
      <w:r w:rsidR="00541BEF" w:rsidRPr="00C521C3">
        <w:rPr>
          <w:rStyle w:val="Emphasis"/>
          <w:rFonts w:asciiTheme="majorBidi" w:hAnsiTheme="majorBidi" w:cstheme="majorBidi"/>
          <w:color w:val="000000" w:themeColor="text1"/>
          <w:sz w:val="24"/>
          <w:szCs w:val="24"/>
        </w:rPr>
        <w:t>et al.</w:t>
      </w:r>
      <w:r w:rsidR="00541BEF" w:rsidRPr="009D1F44">
        <w:rPr>
          <w:rStyle w:val="Strong"/>
          <w:rFonts w:asciiTheme="majorBidi" w:hAnsiTheme="majorBidi" w:cstheme="majorBidi"/>
          <w:b w:val="0"/>
          <w:bCs w:val="0"/>
          <w:color w:val="000000" w:themeColor="text1"/>
          <w:sz w:val="24"/>
          <w:szCs w:val="24"/>
        </w:rPr>
        <w:t>Dietary habits and their relations to insulin resistance and postprandial lipemia in nonalcoholic steatohepatitis</w:t>
      </w:r>
      <w:r w:rsidRPr="00007DBD">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Hepatology, 37 (2003), pp. 909-916</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007DBD"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[32]</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L. Ferder, M.D. Ferder, F. Inserra</w:t>
      </w:r>
      <w:r w:rsidRPr="009D1F44">
        <w:rPr>
          <w:rStyle w:val="Strong"/>
          <w:rFonts w:asciiTheme="majorBidi" w:hAnsiTheme="majorBidi" w:cstheme="majorBidi"/>
          <w:b w:val="0"/>
          <w:bCs w:val="0"/>
          <w:color w:val="000000" w:themeColor="text1"/>
          <w:sz w:val="24"/>
          <w:szCs w:val="24"/>
        </w:rPr>
        <w:t xml:space="preserve">The role of high-fructose corn syrup in </w:t>
      </w:r>
      <w:r w:rsidRPr="00B2136C">
        <w:rPr>
          <w:rStyle w:val="Strong"/>
          <w:rFonts w:asciiTheme="majorBidi" w:hAnsiTheme="majorBidi" w:cstheme="majorBidi"/>
          <w:b w:val="0"/>
          <w:bCs w:val="0"/>
          <w:color w:val="000000" w:themeColor="text1"/>
          <w:sz w:val="24"/>
          <w:szCs w:val="24"/>
        </w:rPr>
        <w:t xml:space="preserve">metabolic </w:t>
      </w:r>
      <w:r w:rsidRPr="009D1F44">
        <w:rPr>
          <w:rStyle w:val="Strong"/>
          <w:rFonts w:asciiTheme="majorBidi" w:hAnsiTheme="majorBidi" w:cstheme="majorBidi"/>
          <w:b w:val="0"/>
          <w:bCs w:val="0"/>
          <w:color w:val="000000" w:themeColor="text1"/>
          <w:sz w:val="24"/>
          <w:szCs w:val="24"/>
        </w:rPr>
        <w:t>syndrome and hypertension</w:t>
      </w:r>
      <w:r w:rsidR="00007DBD" w:rsidRPr="00007DBD">
        <w:rPr>
          <w:rFonts w:asciiTheme="majorBidi" w:hAnsiTheme="majorBidi" w:cstheme="majorBidi"/>
          <w:color w:val="000000" w:themeColor="text1"/>
          <w:sz w:val="24"/>
          <w:szCs w:val="24"/>
        </w:rPr>
        <w:t xml:space="preserve"> </w:t>
      </w:r>
      <w:r w:rsidR="00007DBD" w:rsidRPr="00C521C3">
        <w:rPr>
          <w:rFonts w:asciiTheme="majorBidi" w:hAnsiTheme="majorBidi" w:cstheme="majorBidi"/>
          <w:color w:val="000000" w:themeColor="text1"/>
          <w:sz w:val="24"/>
          <w:szCs w:val="24"/>
        </w:rPr>
        <w:t>Curr Hypertens Rep, 12 (2010), pp. 105-112</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9D1F44" w:rsidRPr="00C521C3" w:rsidRDefault="00007DBD"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lastRenderedPageBreak/>
        <w:t xml:space="preserve"> </w:t>
      </w:r>
      <w:r w:rsidR="00541BEF" w:rsidRPr="00C521C3">
        <w:rPr>
          <w:rFonts w:asciiTheme="majorBidi" w:hAnsiTheme="majorBidi" w:cstheme="majorBidi"/>
          <w:color w:val="000000" w:themeColor="text1"/>
          <w:sz w:val="24"/>
          <w:szCs w:val="24"/>
        </w:rPr>
        <w:t>[33]</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S. Chiu, J.L. Sievenpiper, R.J. de Souza, A.I. Cozma, A. Mirrahimi, A.J. Carleton, </w:t>
      </w:r>
      <w:r w:rsidR="00541BEF" w:rsidRPr="00C521C3">
        <w:rPr>
          <w:rStyle w:val="Emphasis"/>
          <w:rFonts w:asciiTheme="majorBidi" w:hAnsiTheme="majorBidi" w:cstheme="majorBidi"/>
          <w:color w:val="000000" w:themeColor="text1"/>
          <w:sz w:val="24"/>
          <w:szCs w:val="24"/>
        </w:rPr>
        <w:t xml:space="preserve">et </w:t>
      </w:r>
      <w:r w:rsidR="00541BEF" w:rsidRPr="00B2136C">
        <w:rPr>
          <w:rStyle w:val="Emphasis"/>
          <w:rFonts w:asciiTheme="majorBidi" w:hAnsiTheme="majorBidi" w:cstheme="majorBidi"/>
          <w:i w:val="0"/>
          <w:iCs w:val="0"/>
          <w:color w:val="000000" w:themeColor="text1"/>
          <w:sz w:val="24"/>
          <w:szCs w:val="24"/>
        </w:rPr>
        <w:t>al.</w:t>
      </w:r>
      <w:r w:rsidR="00541BEF" w:rsidRPr="00B2136C">
        <w:rPr>
          <w:rStyle w:val="Strong"/>
          <w:rFonts w:asciiTheme="majorBidi" w:hAnsiTheme="majorBidi" w:cstheme="majorBidi"/>
          <w:b w:val="0"/>
          <w:bCs w:val="0"/>
          <w:color w:val="000000" w:themeColor="text1"/>
          <w:sz w:val="24"/>
          <w:szCs w:val="24"/>
        </w:rPr>
        <w:t>Effect of fructose on markers of non-alcoholic fatty liver disease (NAFLD): a systematic review and meta-analysis of controlled feeding trials</w:t>
      </w:r>
      <w:r w:rsidR="009D1F44" w:rsidRPr="009D1F44">
        <w:rPr>
          <w:rFonts w:asciiTheme="majorBidi" w:hAnsiTheme="majorBidi" w:cstheme="majorBidi"/>
          <w:color w:val="000000" w:themeColor="text1"/>
          <w:sz w:val="24"/>
          <w:szCs w:val="24"/>
        </w:rPr>
        <w:t xml:space="preserve"> </w:t>
      </w:r>
      <w:r w:rsidR="009D1F44" w:rsidRPr="00C521C3">
        <w:rPr>
          <w:rFonts w:asciiTheme="majorBidi" w:hAnsiTheme="majorBidi" w:cstheme="majorBidi"/>
          <w:color w:val="000000" w:themeColor="text1"/>
          <w:sz w:val="24"/>
          <w:szCs w:val="24"/>
        </w:rPr>
        <w:t>Eur J Clin Nutr, 68 (2014), pp. 416-423</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541BEF" w:rsidRPr="00B2136C" w:rsidRDefault="00541BEF" w:rsidP="0091755A">
      <w:pPr>
        <w:rPr>
          <w:rFonts w:asciiTheme="majorBidi" w:hAnsiTheme="majorBidi" w:cstheme="majorBidi"/>
          <w:b/>
          <w:bCs/>
          <w:color w:val="000000" w:themeColor="text1"/>
          <w:sz w:val="24"/>
          <w:szCs w:val="24"/>
        </w:rPr>
      </w:pPr>
      <w:r w:rsidRPr="00C521C3">
        <w:rPr>
          <w:rFonts w:asciiTheme="majorBidi" w:hAnsiTheme="majorBidi" w:cstheme="majorBidi"/>
          <w:color w:val="000000" w:themeColor="text1"/>
          <w:sz w:val="24"/>
          <w:szCs w:val="24"/>
        </w:rPr>
        <w:t>[34]</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M.B. Vos, J.E. Lavine</w:t>
      </w:r>
      <w:r w:rsidRPr="00B2136C">
        <w:rPr>
          <w:rStyle w:val="Strong"/>
          <w:rFonts w:asciiTheme="majorBidi" w:hAnsiTheme="majorBidi" w:cstheme="majorBidi"/>
          <w:b w:val="0"/>
          <w:bCs w:val="0"/>
          <w:color w:val="000000" w:themeColor="text1"/>
          <w:sz w:val="24"/>
          <w:szCs w:val="24"/>
        </w:rPr>
        <w:t>Dietary fructose in nonalcoholic fatty liver disease</w:t>
      </w:r>
    </w:p>
    <w:p w:rsidR="00541BEF" w:rsidRPr="00C521C3" w:rsidRDefault="00541BEF" w:rsidP="0091755A">
      <w:pPr>
        <w:tabs>
          <w:tab w:val="left" w:pos="4935"/>
        </w:tabs>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Hepatology, 57 (2013), pp. 2525-2531</w:t>
      </w:r>
      <w:r w:rsidR="009D1F44">
        <w:rPr>
          <w:rFonts w:asciiTheme="majorBidi" w:hAnsiTheme="majorBidi" w:cstheme="majorBidi"/>
          <w:color w:val="000000" w:themeColor="text1"/>
          <w:sz w:val="24"/>
          <w:szCs w:val="24"/>
        </w:rPr>
        <w:t>.</w:t>
      </w:r>
      <w:r w:rsidR="00B2136C">
        <w:rPr>
          <w:rFonts w:asciiTheme="majorBidi" w:hAnsiTheme="majorBidi" w:cstheme="majorBidi"/>
          <w:color w:val="000000" w:themeColor="text1"/>
          <w:sz w:val="24"/>
          <w:szCs w:val="24"/>
        </w:rPr>
        <w:tab/>
      </w:r>
    </w:p>
    <w:p w:rsidR="009D1F44" w:rsidRPr="00C521C3" w:rsidRDefault="00007DBD"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[35]</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J. Ma, C.S. Fox, P.F. Jacques, E.K. Speliotes, U. Hoffmann, C.E. Smith, </w:t>
      </w:r>
      <w:r w:rsidR="00541BEF" w:rsidRPr="00C521C3">
        <w:rPr>
          <w:rStyle w:val="Emphasis"/>
          <w:rFonts w:asciiTheme="majorBidi" w:hAnsiTheme="majorBidi" w:cstheme="majorBidi"/>
          <w:color w:val="000000" w:themeColor="text1"/>
          <w:sz w:val="24"/>
          <w:szCs w:val="24"/>
        </w:rPr>
        <w:t xml:space="preserve">et </w:t>
      </w:r>
      <w:r w:rsidR="00541BEF" w:rsidRPr="0034403C">
        <w:rPr>
          <w:rStyle w:val="Emphasis"/>
          <w:rFonts w:asciiTheme="majorBidi" w:hAnsiTheme="majorBidi" w:cstheme="majorBidi"/>
          <w:i w:val="0"/>
          <w:iCs w:val="0"/>
          <w:color w:val="000000" w:themeColor="text1"/>
          <w:sz w:val="24"/>
          <w:szCs w:val="24"/>
        </w:rPr>
        <w:t>al.</w:t>
      </w:r>
      <w:r w:rsidR="00541BEF" w:rsidRPr="0034403C">
        <w:rPr>
          <w:rStyle w:val="Strong"/>
          <w:rFonts w:asciiTheme="majorBidi" w:hAnsiTheme="majorBidi" w:cstheme="majorBidi"/>
          <w:b w:val="0"/>
          <w:bCs w:val="0"/>
          <w:color w:val="000000" w:themeColor="text1"/>
          <w:sz w:val="24"/>
          <w:szCs w:val="24"/>
        </w:rPr>
        <w:t>Sugar</w:t>
      </w:r>
      <w:r w:rsidR="00541BEF" w:rsidRPr="00C521C3">
        <w:rPr>
          <w:rStyle w:val="Strong"/>
          <w:rFonts w:asciiTheme="majorBidi" w:hAnsiTheme="majorBidi" w:cstheme="majorBidi"/>
          <w:color w:val="000000" w:themeColor="text1"/>
          <w:sz w:val="24"/>
          <w:szCs w:val="24"/>
        </w:rPr>
        <w:t>-</w:t>
      </w:r>
      <w:r w:rsidR="00541BEF" w:rsidRPr="0034403C">
        <w:rPr>
          <w:rStyle w:val="Strong"/>
          <w:rFonts w:asciiTheme="majorBidi" w:hAnsiTheme="majorBidi" w:cstheme="majorBidi"/>
          <w:b w:val="0"/>
          <w:bCs w:val="0"/>
          <w:color w:val="000000" w:themeColor="text1"/>
          <w:sz w:val="24"/>
          <w:szCs w:val="24"/>
        </w:rPr>
        <w:t>sweetened beverage, diet soda, and fatty liver disease in the Framingham Heart Study cohorts</w:t>
      </w:r>
      <w:r w:rsidR="009D1F44" w:rsidRPr="009D1F44">
        <w:rPr>
          <w:rFonts w:asciiTheme="majorBidi" w:hAnsiTheme="majorBidi" w:cstheme="majorBidi"/>
          <w:color w:val="000000" w:themeColor="text1"/>
          <w:sz w:val="24"/>
          <w:szCs w:val="24"/>
        </w:rPr>
        <w:t xml:space="preserve"> </w:t>
      </w:r>
      <w:r w:rsidR="009D1F44" w:rsidRPr="00C521C3">
        <w:rPr>
          <w:rFonts w:asciiTheme="majorBidi" w:hAnsiTheme="majorBidi" w:cstheme="majorBidi"/>
          <w:color w:val="000000" w:themeColor="text1"/>
          <w:sz w:val="24"/>
          <w:szCs w:val="24"/>
        </w:rPr>
        <w:t>J Hepatol (2015)</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9D1F44" w:rsidRPr="00C521C3" w:rsidRDefault="009D1F44"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[36]</w:t>
      </w:r>
      <w:r w:rsidR="0091755A">
        <w:rPr>
          <w:rFonts w:asciiTheme="majorBidi" w:hAnsiTheme="majorBidi" w:cstheme="majorBidi"/>
          <w:color w:val="000000" w:themeColor="text1"/>
          <w:sz w:val="24"/>
          <w:szCs w:val="24"/>
        </w:rPr>
        <w:t xml:space="preserve"> </w:t>
      </w:r>
      <w:r w:rsidR="00541BEF" w:rsidRPr="00C521C3">
        <w:rPr>
          <w:rFonts w:asciiTheme="majorBidi" w:hAnsiTheme="majorBidi" w:cstheme="majorBidi"/>
          <w:color w:val="000000" w:themeColor="text1"/>
          <w:sz w:val="24"/>
          <w:szCs w:val="24"/>
        </w:rPr>
        <w:t xml:space="preserve">I. Bergheim, S. Weber, M. Vos, S. Kramer, V. Volynets, S. Kaserouni, </w:t>
      </w:r>
      <w:r w:rsidR="00541BEF" w:rsidRPr="00C521C3">
        <w:rPr>
          <w:rStyle w:val="Emphasis"/>
          <w:rFonts w:asciiTheme="majorBidi" w:hAnsiTheme="majorBidi" w:cstheme="majorBidi"/>
          <w:color w:val="000000" w:themeColor="text1"/>
          <w:sz w:val="24"/>
          <w:szCs w:val="24"/>
        </w:rPr>
        <w:t>et al.</w:t>
      </w:r>
      <w:r w:rsidR="00541BEF" w:rsidRPr="0034403C">
        <w:rPr>
          <w:rStyle w:val="Strong"/>
          <w:rFonts w:asciiTheme="majorBidi" w:hAnsiTheme="majorBidi" w:cstheme="majorBidi"/>
          <w:b w:val="0"/>
          <w:bCs w:val="0"/>
          <w:color w:val="000000" w:themeColor="text1"/>
          <w:sz w:val="24"/>
          <w:szCs w:val="24"/>
        </w:rPr>
        <w:t>Antibiotics protect against fructose-induced hepatic lipid accumulation in mice: role of endotoxin</w:t>
      </w:r>
      <w:r w:rsidRPr="009D1F44">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J Hepatol, 48 (2008), pp. 983-992</w:t>
      </w:r>
      <w:r>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34403C"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[37]</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 xml:space="preserve">K. Toshimitsu, B. Matsuura, I. Ohkubo, T. Niiya, S. Furukawa, Y. Hiasa, </w:t>
      </w:r>
      <w:r w:rsidRPr="00C521C3">
        <w:rPr>
          <w:rStyle w:val="Emphasis"/>
          <w:rFonts w:asciiTheme="majorBidi" w:hAnsiTheme="majorBidi" w:cstheme="majorBidi"/>
          <w:color w:val="000000" w:themeColor="text1"/>
          <w:sz w:val="24"/>
          <w:szCs w:val="24"/>
        </w:rPr>
        <w:t xml:space="preserve">et </w:t>
      </w:r>
      <w:r w:rsidRPr="0034403C">
        <w:rPr>
          <w:rStyle w:val="Emphasis"/>
          <w:rFonts w:asciiTheme="majorBidi" w:hAnsiTheme="majorBidi" w:cstheme="majorBidi"/>
          <w:i w:val="0"/>
          <w:iCs w:val="0"/>
          <w:color w:val="000000" w:themeColor="text1"/>
          <w:sz w:val="24"/>
          <w:szCs w:val="24"/>
        </w:rPr>
        <w:t>al</w:t>
      </w:r>
      <w:r w:rsidRPr="00C521C3">
        <w:rPr>
          <w:rStyle w:val="Emphasis"/>
          <w:rFonts w:asciiTheme="majorBidi" w:hAnsiTheme="majorBidi" w:cstheme="majorBidi"/>
          <w:color w:val="000000" w:themeColor="text1"/>
          <w:sz w:val="24"/>
          <w:szCs w:val="24"/>
        </w:rPr>
        <w:t>.</w:t>
      </w:r>
      <w:r w:rsidRPr="0034403C">
        <w:rPr>
          <w:rStyle w:val="Strong"/>
          <w:rFonts w:asciiTheme="majorBidi" w:hAnsiTheme="majorBidi" w:cstheme="majorBidi"/>
          <w:b w:val="0"/>
          <w:bCs w:val="0"/>
          <w:color w:val="000000" w:themeColor="text1"/>
          <w:sz w:val="24"/>
          <w:szCs w:val="24"/>
        </w:rPr>
        <w:t>Dietary habits and nutrient intake in non-alcoholic steatohepatitis</w:t>
      </w:r>
      <w:r w:rsidR="0034403C" w:rsidRPr="0034403C">
        <w:rPr>
          <w:rFonts w:asciiTheme="majorBidi" w:hAnsiTheme="majorBidi" w:cstheme="majorBidi"/>
          <w:color w:val="000000" w:themeColor="text1"/>
          <w:sz w:val="24"/>
          <w:szCs w:val="24"/>
        </w:rPr>
        <w:t xml:space="preserve"> </w:t>
      </w:r>
      <w:r w:rsidR="0034403C" w:rsidRPr="00C521C3">
        <w:rPr>
          <w:rFonts w:asciiTheme="majorBidi" w:hAnsiTheme="majorBidi" w:cstheme="majorBidi"/>
          <w:color w:val="000000" w:themeColor="text1"/>
          <w:sz w:val="24"/>
          <w:szCs w:val="24"/>
        </w:rPr>
        <w:t>Nutrition, 23 (2007), pp. 46-52</w:t>
      </w:r>
      <w:r w:rsidR="0034403C">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9D1F44"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[38]</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R. Lomonaco, N.E. Sunny, F. Bril, K. Cusi</w:t>
      </w:r>
      <w:r w:rsidRPr="00B2136C">
        <w:rPr>
          <w:rStyle w:val="Strong"/>
          <w:rFonts w:asciiTheme="majorBidi" w:hAnsiTheme="majorBidi" w:cstheme="majorBidi"/>
          <w:b w:val="0"/>
          <w:bCs w:val="0"/>
          <w:color w:val="000000" w:themeColor="text1"/>
          <w:sz w:val="24"/>
          <w:szCs w:val="24"/>
        </w:rPr>
        <w:t>Nonalcoholic fatty liver disease: current issues and novel treatment approaches</w:t>
      </w:r>
      <w:r w:rsidR="009D1F44" w:rsidRPr="009D1F44">
        <w:rPr>
          <w:rFonts w:asciiTheme="majorBidi" w:hAnsiTheme="majorBidi" w:cstheme="majorBidi"/>
          <w:color w:val="000000" w:themeColor="text1"/>
          <w:sz w:val="24"/>
          <w:szCs w:val="24"/>
        </w:rPr>
        <w:t xml:space="preserve"> </w:t>
      </w:r>
      <w:r w:rsidR="009D1F44" w:rsidRPr="00C521C3">
        <w:rPr>
          <w:rFonts w:asciiTheme="majorBidi" w:hAnsiTheme="majorBidi" w:cstheme="majorBidi"/>
          <w:color w:val="000000" w:themeColor="text1"/>
          <w:sz w:val="24"/>
          <w:szCs w:val="24"/>
        </w:rPr>
        <w:t>Drugs, 73 (2013), pp. 1-14</w:t>
      </w:r>
      <w:r w:rsidR="009D1F44">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9D1F44" w:rsidRPr="00C521C3" w:rsidRDefault="00541BEF" w:rsidP="0091755A">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[39]</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G. Musso, R. Gambino, M. Cassader, G. Pagano</w:t>
      </w:r>
      <w:r w:rsidRPr="00B2136C">
        <w:rPr>
          <w:rStyle w:val="Strong"/>
          <w:rFonts w:asciiTheme="majorBidi" w:hAnsiTheme="majorBidi" w:cstheme="majorBidi"/>
          <w:b w:val="0"/>
          <w:bCs w:val="0"/>
          <w:color w:val="000000" w:themeColor="text1"/>
          <w:sz w:val="24"/>
          <w:szCs w:val="24"/>
        </w:rPr>
        <w:t>A meta-analysis of randomized trials for the treatment of nonalcoholic fatty liver disease</w:t>
      </w:r>
      <w:r w:rsidR="009D1F44" w:rsidRPr="009D1F44">
        <w:rPr>
          <w:rFonts w:asciiTheme="majorBidi" w:hAnsiTheme="majorBidi" w:cstheme="majorBidi"/>
          <w:color w:val="000000" w:themeColor="text1"/>
          <w:sz w:val="24"/>
          <w:szCs w:val="24"/>
        </w:rPr>
        <w:t xml:space="preserve"> </w:t>
      </w:r>
      <w:r w:rsidR="009D1F44" w:rsidRPr="00C521C3">
        <w:rPr>
          <w:rFonts w:asciiTheme="majorBidi" w:hAnsiTheme="majorBidi" w:cstheme="majorBidi"/>
          <w:color w:val="000000" w:themeColor="text1"/>
          <w:sz w:val="24"/>
          <w:szCs w:val="24"/>
        </w:rPr>
        <w:t>Hepatology, 52 (2010), pp. 79-104</w:t>
      </w:r>
      <w:r w:rsidR="00B2136C">
        <w:rPr>
          <w:rFonts w:asciiTheme="majorBidi" w:hAnsiTheme="majorBidi" w:cstheme="majorBidi"/>
          <w:color w:val="000000" w:themeColor="text1"/>
          <w:sz w:val="24"/>
          <w:szCs w:val="24"/>
        </w:rPr>
        <w:t>.</w:t>
      </w:r>
    </w:p>
    <w:p w:rsidR="00541BEF" w:rsidRPr="00C521C3" w:rsidRDefault="00541BEF" w:rsidP="0091755A">
      <w:pPr>
        <w:rPr>
          <w:rFonts w:asciiTheme="majorBidi" w:hAnsiTheme="majorBidi" w:cstheme="majorBidi"/>
          <w:color w:val="000000" w:themeColor="text1"/>
          <w:sz w:val="24"/>
          <w:szCs w:val="24"/>
        </w:rPr>
      </w:pPr>
    </w:p>
    <w:p w:rsidR="009D1F44" w:rsidRDefault="00541BEF" w:rsidP="0091755A">
      <w:pPr>
        <w:ind w:right="720"/>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[40]</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 xml:space="preserve">A. Duseja, A. Das, R.K. Dhiman, Y.K. Chawla, K.T. Thumburu, S. Bhadada, </w:t>
      </w:r>
      <w:r w:rsidRPr="00C521C3">
        <w:rPr>
          <w:rStyle w:val="Emphasis"/>
          <w:rFonts w:asciiTheme="majorBidi" w:hAnsiTheme="majorBidi" w:cstheme="majorBidi"/>
          <w:color w:val="000000" w:themeColor="text1"/>
          <w:sz w:val="24"/>
          <w:szCs w:val="24"/>
        </w:rPr>
        <w:t xml:space="preserve">et </w:t>
      </w:r>
      <w:r w:rsidRPr="00B2136C">
        <w:rPr>
          <w:rStyle w:val="Emphasis"/>
          <w:rFonts w:asciiTheme="majorBidi" w:hAnsiTheme="majorBidi" w:cstheme="majorBidi"/>
          <w:i w:val="0"/>
          <w:iCs w:val="0"/>
          <w:color w:val="000000" w:themeColor="text1"/>
          <w:sz w:val="24"/>
          <w:szCs w:val="24"/>
        </w:rPr>
        <w:t>al.</w:t>
      </w:r>
      <w:r w:rsidRPr="00B2136C">
        <w:rPr>
          <w:rStyle w:val="Strong"/>
          <w:rFonts w:asciiTheme="majorBidi" w:hAnsiTheme="majorBidi" w:cstheme="majorBidi"/>
          <w:b w:val="0"/>
          <w:bCs w:val="0"/>
          <w:color w:val="000000" w:themeColor="text1"/>
          <w:sz w:val="24"/>
          <w:szCs w:val="24"/>
        </w:rPr>
        <w:t>Metformin is effective in achieving biochemical response in patients with</w:t>
      </w:r>
      <w:r w:rsidRPr="00C521C3">
        <w:rPr>
          <w:rStyle w:val="Strong"/>
          <w:rFonts w:asciiTheme="majorBidi" w:hAnsiTheme="majorBidi" w:cstheme="majorBidi"/>
          <w:color w:val="000000" w:themeColor="text1"/>
          <w:sz w:val="24"/>
          <w:szCs w:val="24"/>
        </w:rPr>
        <w:t xml:space="preserve"> </w:t>
      </w:r>
      <w:r w:rsidRPr="00B2136C">
        <w:rPr>
          <w:rStyle w:val="Strong"/>
          <w:rFonts w:asciiTheme="majorBidi" w:hAnsiTheme="majorBidi" w:cstheme="majorBidi"/>
          <w:b w:val="0"/>
          <w:bCs w:val="0"/>
          <w:color w:val="000000" w:themeColor="text1"/>
          <w:sz w:val="24"/>
          <w:szCs w:val="24"/>
        </w:rPr>
        <w:t>nonalcoholic fatty liver disease (NAFLD) not responding to lifestyle interventions</w:t>
      </w:r>
      <w:r w:rsidR="009D1F44" w:rsidRPr="009D1F44">
        <w:rPr>
          <w:rFonts w:asciiTheme="majorBidi" w:hAnsiTheme="majorBidi" w:cstheme="majorBidi"/>
          <w:color w:val="000000" w:themeColor="text1"/>
          <w:sz w:val="24"/>
          <w:szCs w:val="24"/>
        </w:rPr>
        <w:t xml:space="preserve"> </w:t>
      </w:r>
      <w:r w:rsidR="009D1F44" w:rsidRPr="00C521C3">
        <w:rPr>
          <w:rFonts w:asciiTheme="majorBidi" w:hAnsiTheme="majorBidi" w:cstheme="majorBidi"/>
          <w:color w:val="000000" w:themeColor="text1"/>
          <w:sz w:val="24"/>
          <w:szCs w:val="24"/>
        </w:rPr>
        <w:t>Ann Hepatol, 6 (2007), pp. 222-226</w:t>
      </w:r>
      <w:r w:rsidR="009D1F44">
        <w:rPr>
          <w:rFonts w:asciiTheme="majorBidi" w:hAnsiTheme="majorBidi" w:cstheme="majorBidi"/>
          <w:color w:val="000000" w:themeColor="text1"/>
          <w:sz w:val="24"/>
          <w:szCs w:val="24"/>
        </w:rPr>
        <w:t>.</w:t>
      </w:r>
    </w:p>
    <w:p w:rsidR="00B2136C" w:rsidRPr="00C521C3" w:rsidRDefault="00B2136C" w:rsidP="0091755A">
      <w:pPr>
        <w:ind w:right="288"/>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[41]</w:t>
      </w:r>
      <w:r w:rsidR="0091755A">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M.O. Rakoski, A.G. Singal, M.A. Rogers, H. Conjeevaram</w:t>
      </w:r>
      <w:r w:rsidR="0091755A">
        <w:rPr>
          <w:rStyle w:val="Strong"/>
          <w:rFonts w:asciiTheme="majorBidi" w:hAnsiTheme="majorBidi" w:cstheme="majorBidi"/>
          <w:b w:val="0"/>
          <w:bCs w:val="0"/>
          <w:color w:val="000000" w:themeColor="text1"/>
          <w:sz w:val="24"/>
          <w:szCs w:val="24"/>
        </w:rPr>
        <w:t xml:space="preserve">Meta-analysis: insulin </w:t>
      </w:r>
      <w:r w:rsidRPr="00B2136C">
        <w:rPr>
          <w:rStyle w:val="Strong"/>
          <w:rFonts w:asciiTheme="majorBidi" w:hAnsiTheme="majorBidi" w:cstheme="majorBidi"/>
          <w:b w:val="0"/>
          <w:bCs w:val="0"/>
          <w:color w:val="000000" w:themeColor="text1"/>
          <w:sz w:val="24"/>
          <w:szCs w:val="24"/>
        </w:rPr>
        <w:t>sensitizers for the treatment of non-alcoholic</w:t>
      </w:r>
      <w:r w:rsidRPr="00C521C3">
        <w:rPr>
          <w:rStyle w:val="Strong"/>
          <w:rFonts w:asciiTheme="majorBidi" w:hAnsiTheme="majorBidi" w:cstheme="majorBidi"/>
          <w:color w:val="000000" w:themeColor="text1"/>
          <w:sz w:val="24"/>
          <w:szCs w:val="24"/>
        </w:rPr>
        <w:t xml:space="preserve"> </w:t>
      </w:r>
      <w:r w:rsidRPr="00B2136C">
        <w:rPr>
          <w:rStyle w:val="Strong"/>
          <w:rFonts w:asciiTheme="majorBidi" w:hAnsiTheme="majorBidi" w:cstheme="majorBidi"/>
          <w:b w:val="0"/>
          <w:bCs w:val="0"/>
          <w:color w:val="000000" w:themeColor="text1"/>
          <w:sz w:val="24"/>
          <w:szCs w:val="24"/>
        </w:rPr>
        <w:t>steatohepatitis</w:t>
      </w:r>
      <w:r w:rsidRPr="009D1F44">
        <w:rPr>
          <w:rFonts w:asciiTheme="majorBidi" w:hAnsiTheme="majorBidi" w:cstheme="majorBidi"/>
          <w:color w:val="000000" w:themeColor="text1"/>
          <w:sz w:val="24"/>
          <w:szCs w:val="24"/>
        </w:rPr>
        <w:t xml:space="preserve"> </w:t>
      </w:r>
      <w:r w:rsidRPr="00C521C3">
        <w:rPr>
          <w:rFonts w:asciiTheme="majorBidi" w:hAnsiTheme="majorBidi" w:cstheme="majorBidi"/>
          <w:color w:val="000000" w:themeColor="text1"/>
          <w:sz w:val="24"/>
          <w:szCs w:val="24"/>
        </w:rPr>
        <w:t>Aliment Pharmacol Ther, 32 (2010), pp. 1211-1221</w:t>
      </w:r>
      <w:r>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br/>
      </w:r>
      <w:r>
        <w:rPr>
          <w:rFonts w:asciiTheme="majorBidi" w:hAnsiTheme="majorBidi" w:cstheme="majorBidi"/>
          <w:color w:val="000000" w:themeColor="text1"/>
          <w:sz w:val="24"/>
          <w:szCs w:val="24"/>
        </w:rPr>
        <w:br/>
      </w:r>
      <w:r w:rsidRPr="00C521C3">
        <w:rPr>
          <w:rFonts w:asciiTheme="majorBidi" w:hAnsiTheme="majorBidi" w:cstheme="majorBidi"/>
          <w:color w:val="000000" w:themeColor="text1"/>
          <w:sz w:val="24"/>
          <w:szCs w:val="24"/>
        </w:rPr>
        <w:t xml:space="preserve">[42] </w:t>
      </w:r>
      <w:r w:rsidRPr="00C521C3">
        <w:rPr>
          <w:rStyle w:val="element-citation"/>
          <w:rFonts w:asciiTheme="majorBidi" w:hAnsiTheme="majorBidi" w:cstheme="majorBidi"/>
          <w:color w:val="000000" w:themeColor="text1"/>
          <w:sz w:val="24"/>
          <w:szCs w:val="24"/>
        </w:rPr>
        <w:t xml:space="preserve">Tappy L, Lê KA, Tran C, Paquot N. Fructose and metabolic diseases: new findings, new questions. </w:t>
      </w:r>
      <w:r w:rsidRPr="00C521C3">
        <w:rPr>
          <w:rStyle w:val="ref-journal"/>
          <w:rFonts w:asciiTheme="majorBidi" w:hAnsiTheme="majorBidi" w:cstheme="majorBidi"/>
          <w:color w:val="000000" w:themeColor="text1"/>
          <w:sz w:val="24"/>
          <w:szCs w:val="24"/>
        </w:rPr>
        <w:t xml:space="preserve">Nutrition.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26</w:t>
      </w:r>
      <w:r w:rsidRPr="00C521C3">
        <w:rPr>
          <w:rStyle w:val="element-citation"/>
          <w:rFonts w:asciiTheme="majorBidi" w:hAnsiTheme="majorBidi" w:cstheme="majorBidi"/>
          <w:color w:val="000000" w:themeColor="text1"/>
          <w:sz w:val="24"/>
          <w:szCs w:val="24"/>
        </w:rPr>
        <w:t>:1044–1049. [</w:t>
      </w:r>
      <w:hyperlink r:id="rId121"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B2136C" w:rsidRPr="00C521C3" w:rsidRDefault="00B2136C" w:rsidP="0091755A">
      <w:pPr>
        <w:ind w:right="288"/>
        <w:rPr>
          <w:rFonts w:asciiTheme="majorBidi" w:hAnsiTheme="majorBidi" w:cstheme="majorBidi"/>
          <w:color w:val="000000" w:themeColor="text1"/>
          <w:sz w:val="24"/>
          <w:szCs w:val="24"/>
        </w:rPr>
      </w:pPr>
    </w:p>
    <w:p w:rsidR="00B2136C" w:rsidRPr="00C521C3" w:rsidRDefault="00B2136C" w:rsidP="0091755A">
      <w:pPr>
        <w:ind w:right="288"/>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[43] </w:t>
      </w:r>
      <w:r w:rsidRPr="00C521C3">
        <w:rPr>
          <w:rStyle w:val="element-citation"/>
          <w:rFonts w:asciiTheme="majorBidi" w:hAnsiTheme="majorBidi" w:cstheme="majorBidi"/>
          <w:color w:val="000000" w:themeColor="text1"/>
          <w:sz w:val="24"/>
          <w:szCs w:val="24"/>
        </w:rPr>
        <w:t xml:space="preserve">Abid A, Taha O, Nseir W, Farah R, Grosovski M, Assy N. Soft drink consumption is associated with fatty liver disease independent of metabolic syndrome. </w:t>
      </w:r>
      <w:r w:rsidRPr="00C521C3">
        <w:rPr>
          <w:rStyle w:val="ref-journal"/>
          <w:rFonts w:asciiTheme="majorBidi" w:hAnsiTheme="majorBidi" w:cstheme="majorBidi"/>
          <w:color w:val="000000" w:themeColor="text1"/>
          <w:sz w:val="24"/>
          <w:szCs w:val="24"/>
        </w:rPr>
        <w:t xml:space="preserve">J Hepatol. </w:t>
      </w:r>
      <w:r w:rsidRPr="00C521C3">
        <w:rPr>
          <w:rStyle w:val="element-citation"/>
          <w:rFonts w:asciiTheme="majorBidi" w:hAnsiTheme="majorBidi" w:cstheme="majorBidi"/>
          <w:color w:val="000000" w:themeColor="text1"/>
          <w:sz w:val="24"/>
          <w:szCs w:val="24"/>
        </w:rPr>
        <w:t>2009;</w:t>
      </w:r>
      <w:r w:rsidRPr="00C521C3">
        <w:rPr>
          <w:rStyle w:val="ref-vol"/>
          <w:rFonts w:asciiTheme="majorBidi" w:hAnsiTheme="majorBidi" w:cstheme="majorBidi"/>
          <w:color w:val="000000" w:themeColor="text1"/>
          <w:sz w:val="24"/>
          <w:szCs w:val="24"/>
        </w:rPr>
        <w:t>51</w:t>
      </w:r>
      <w:r w:rsidRPr="00C521C3">
        <w:rPr>
          <w:rStyle w:val="element-citation"/>
          <w:rFonts w:asciiTheme="majorBidi" w:hAnsiTheme="majorBidi" w:cstheme="majorBidi"/>
          <w:color w:val="000000" w:themeColor="text1"/>
          <w:sz w:val="24"/>
          <w:szCs w:val="24"/>
        </w:rPr>
        <w:t>:918–924. [</w:t>
      </w:r>
      <w:hyperlink r:id="rId122"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B2136C" w:rsidRDefault="00B2136C" w:rsidP="0091755A">
      <w:pPr>
        <w:ind w:right="288"/>
        <w:rPr>
          <w:rFonts w:asciiTheme="majorBidi" w:hAnsiTheme="majorBidi" w:cstheme="majorBidi"/>
          <w:color w:val="000000" w:themeColor="text1"/>
          <w:sz w:val="24"/>
          <w:szCs w:val="24"/>
        </w:rPr>
      </w:pP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[44] </w:t>
      </w:r>
      <w:r w:rsidRPr="00C521C3">
        <w:rPr>
          <w:rStyle w:val="element-citation"/>
          <w:rFonts w:asciiTheme="majorBidi" w:hAnsiTheme="majorBidi" w:cstheme="majorBidi"/>
          <w:color w:val="000000" w:themeColor="text1"/>
          <w:sz w:val="24"/>
          <w:szCs w:val="24"/>
        </w:rPr>
        <w:t xml:space="preserve">Yki-Järvinen H. Nutritional modulation of nonalcoholic fatty liver disease and </w:t>
      </w:r>
      <w:r>
        <w:rPr>
          <w:rStyle w:val="element-citation"/>
          <w:rFonts w:asciiTheme="majorBidi" w:hAnsiTheme="majorBidi" w:cstheme="majorBidi"/>
          <w:color w:val="000000" w:themeColor="text1"/>
          <w:sz w:val="24"/>
          <w:szCs w:val="24"/>
        </w:rPr>
        <w:t xml:space="preserve">         </w:t>
      </w:r>
      <w:r w:rsidRPr="00C521C3">
        <w:rPr>
          <w:rStyle w:val="element-citation"/>
          <w:rFonts w:asciiTheme="majorBidi" w:hAnsiTheme="majorBidi" w:cstheme="majorBidi"/>
          <w:color w:val="000000" w:themeColor="text1"/>
          <w:sz w:val="24"/>
          <w:szCs w:val="24"/>
        </w:rPr>
        <w:t xml:space="preserve">insulin resistance: human data. </w:t>
      </w:r>
      <w:r w:rsidRPr="00C521C3">
        <w:rPr>
          <w:rStyle w:val="ref-journal"/>
          <w:rFonts w:asciiTheme="majorBidi" w:hAnsiTheme="majorBidi" w:cstheme="majorBidi"/>
          <w:color w:val="000000" w:themeColor="text1"/>
          <w:sz w:val="24"/>
          <w:szCs w:val="24"/>
        </w:rPr>
        <w:t xml:space="preserve">Curr Opin Clin Nutr Metab Care.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13</w:t>
      </w:r>
      <w:r w:rsidRPr="00C521C3">
        <w:rPr>
          <w:rStyle w:val="element-citation"/>
          <w:rFonts w:asciiTheme="majorBidi" w:hAnsiTheme="majorBidi" w:cstheme="majorBidi"/>
          <w:color w:val="000000" w:themeColor="text1"/>
          <w:sz w:val="24"/>
          <w:szCs w:val="24"/>
        </w:rPr>
        <w:t>:709–714. [</w:t>
      </w:r>
      <w:hyperlink r:id="rId123"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[45] </w:t>
      </w:r>
      <w:r w:rsidRPr="00C521C3">
        <w:rPr>
          <w:rStyle w:val="element-citation"/>
          <w:rFonts w:asciiTheme="majorBidi" w:hAnsiTheme="majorBidi" w:cstheme="majorBidi"/>
          <w:color w:val="000000" w:themeColor="text1"/>
          <w:sz w:val="24"/>
          <w:szCs w:val="24"/>
        </w:rPr>
        <w:t xml:space="preserve">Kotronen A, Yki-Järvinen H. Fatty liver: a novel component of the metabolic syndrome. </w:t>
      </w:r>
      <w:r w:rsidRPr="00C521C3">
        <w:rPr>
          <w:rStyle w:val="ref-journal"/>
          <w:rFonts w:asciiTheme="majorBidi" w:hAnsiTheme="majorBidi" w:cstheme="majorBidi"/>
          <w:color w:val="000000" w:themeColor="text1"/>
          <w:sz w:val="24"/>
          <w:szCs w:val="24"/>
        </w:rPr>
        <w:t xml:space="preserve">Arterioscler Thromb Vasc Biol. </w:t>
      </w:r>
      <w:r w:rsidRPr="00C521C3">
        <w:rPr>
          <w:rStyle w:val="element-citation"/>
          <w:rFonts w:asciiTheme="majorBidi" w:hAnsiTheme="majorBidi" w:cstheme="majorBidi"/>
          <w:color w:val="000000" w:themeColor="text1"/>
          <w:sz w:val="24"/>
          <w:szCs w:val="24"/>
        </w:rPr>
        <w:t>2008;</w:t>
      </w:r>
      <w:r w:rsidRPr="00C521C3">
        <w:rPr>
          <w:rStyle w:val="ref-vol"/>
          <w:rFonts w:asciiTheme="majorBidi" w:hAnsiTheme="majorBidi" w:cstheme="majorBidi"/>
          <w:color w:val="000000" w:themeColor="text1"/>
          <w:sz w:val="24"/>
          <w:szCs w:val="24"/>
        </w:rPr>
        <w:t>28</w:t>
      </w:r>
      <w:r w:rsidRPr="00C521C3">
        <w:rPr>
          <w:rStyle w:val="element-citation"/>
          <w:rFonts w:asciiTheme="majorBidi" w:hAnsiTheme="majorBidi" w:cstheme="majorBidi"/>
          <w:color w:val="000000" w:themeColor="text1"/>
          <w:sz w:val="24"/>
          <w:szCs w:val="24"/>
        </w:rPr>
        <w:t>:27–38. [</w:t>
      </w:r>
      <w:hyperlink r:id="rId124"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[46] </w:t>
      </w:r>
      <w:r w:rsidRPr="00C521C3">
        <w:rPr>
          <w:rStyle w:val="element-citation"/>
          <w:rFonts w:asciiTheme="majorBidi" w:hAnsiTheme="majorBidi" w:cstheme="majorBidi"/>
          <w:color w:val="000000" w:themeColor="text1"/>
          <w:sz w:val="24"/>
          <w:szCs w:val="24"/>
        </w:rPr>
        <w:t xml:space="preserve">Neuschwander-Tetri BA, Caldwell SH. Nonalcoholic steatohepatitis: summary of an AASLD Single Topic Conference. </w:t>
      </w:r>
      <w:r w:rsidRPr="00C521C3">
        <w:rPr>
          <w:rStyle w:val="ref-journal"/>
          <w:rFonts w:asciiTheme="majorBidi" w:hAnsiTheme="majorBidi" w:cstheme="majorBidi"/>
          <w:color w:val="000000" w:themeColor="text1"/>
          <w:sz w:val="24"/>
          <w:szCs w:val="24"/>
        </w:rPr>
        <w:t xml:space="preserve">Hepatology. </w:t>
      </w:r>
      <w:r w:rsidRPr="00C521C3">
        <w:rPr>
          <w:rStyle w:val="element-citation"/>
          <w:rFonts w:asciiTheme="majorBidi" w:hAnsiTheme="majorBidi" w:cstheme="majorBidi"/>
          <w:color w:val="000000" w:themeColor="text1"/>
          <w:sz w:val="24"/>
          <w:szCs w:val="24"/>
        </w:rPr>
        <w:t>2003;</w:t>
      </w:r>
      <w:r w:rsidRPr="00C521C3">
        <w:rPr>
          <w:rStyle w:val="ref-vol"/>
          <w:rFonts w:asciiTheme="majorBidi" w:hAnsiTheme="majorBidi" w:cstheme="majorBidi"/>
          <w:color w:val="000000" w:themeColor="text1"/>
          <w:sz w:val="24"/>
          <w:szCs w:val="24"/>
        </w:rPr>
        <w:t>37</w:t>
      </w:r>
      <w:r w:rsidRPr="00C521C3">
        <w:rPr>
          <w:rStyle w:val="element-citation"/>
          <w:rFonts w:asciiTheme="majorBidi" w:hAnsiTheme="majorBidi" w:cstheme="majorBidi"/>
          <w:color w:val="000000" w:themeColor="text1"/>
          <w:sz w:val="24"/>
          <w:szCs w:val="24"/>
        </w:rPr>
        <w:t>:1202–1219. [</w:t>
      </w:r>
      <w:hyperlink r:id="rId125"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[47] </w:t>
      </w:r>
      <w:r w:rsidRPr="00C521C3">
        <w:rPr>
          <w:rStyle w:val="element-citation"/>
          <w:rFonts w:asciiTheme="majorBidi" w:hAnsiTheme="majorBidi" w:cstheme="majorBidi"/>
          <w:color w:val="000000" w:themeColor="text1"/>
          <w:sz w:val="24"/>
          <w:szCs w:val="24"/>
        </w:rPr>
        <w:t xml:space="preserve">Yasutake K, Nakamuta M, Shima Y, Ohyama A, Masuda K, Haruta N, Fujino T, Aoyagi Y, Fukuizumi K, Yoshimoto T, et al. Nutritional investigation of non-obese patients with non-alcoholic fatty liver disease: the significance of dietary cholesterol. </w:t>
      </w:r>
      <w:r w:rsidRPr="00C521C3">
        <w:rPr>
          <w:rStyle w:val="ref-journal"/>
          <w:rFonts w:asciiTheme="majorBidi" w:hAnsiTheme="majorBidi" w:cstheme="majorBidi"/>
          <w:color w:val="000000" w:themeColor="text1"/>
          <w:sz w:val="24"/>
          <w:szCs w:val="24"/>
        </w:rPr>
        <w:t xml:space="preserve">Scand J Gastroenterol. </w:t>
      </w:r>
      <w:r w:rsidRPr="00C521C3">
        <w:rPr>
          <w:rStyle w:val="element-citation"/>
          <w:rFonts w:asciiTheme="majorBidi" w:hAnsiTheme="majorBidi" w:cstheme="majorBidi"/>
          <w:color w:val="000000" w:themeColor="text1"/>
          <w:sz w:val="24"/>
          <w:szCs w:val="24"/>
        </w:rPr>
        <w:t>2009;</w:t>
      </w:r>
      <w:r w:rsidRPr="00C521C3">
        <w:rPr>
          <w:rStyle w:val="ref-vol"/>
          <w:rFonts w:asciiTheme="majorBidi" w:hAnsiTheme="majorBidi" w:cstheme="majorBidi"/>
          <w:color w:val="000000" w:themeColor="text1"/>
          <w:sz w:val="24"/>
          <w:szCs w:val="24"/>
        </w:rPr>
        <w:t>44</w:t>
      </w:r>
      <w:r w:rsidRPr="00C521C3">
        <w:rPr>
          <w:rStyle w:val="element-citation"/>
          <w:rFonts w:asciiTheme="majorBidi" w:hAnsiTheme="majorBidi" w:cstheme="majorBidi"/>
          <w:color w:val="000000" w:themeColor="text1"/>
          <w:sz w:val="24"/>
          <w:szCs w:val="24"/>
        </w:rPr>
        <w:t>:471–477. [</w:t>
      </w:r>
      <w:hyperlink r:id="rId126"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[48</w:t>
      </w:r>
      <w:r w:rsidR="007146EE" w:rsidRPr="00C521C3">
        <w:rPr>
          <w:rFonts w:asciiTheme="majorBidi" w:hAnsiTheme="majorBidi" w:cstheme="majorBidi"/>
          <w:color w:val="000000" w:themeColor="text1"/>
          <w:sz w:val="24"/>
          <w:szCs w:val="24"/>
        </w:rPr>
        <w:t>]</w:t>
      </w:r>
      <w:r w:rsidRPr="00C521C3">
        <w:rPr>
          <w:rFonts w:asciiTheme="majorBidi" w:hAnsiTheme="majorBidi" w:cstheme="majorBidi"/>
          <w:color w:val="000000" w:themeColor="text1"/>
          <w:sz w:val="24"/>
          <w:szCs w:val="24"/>
        </w:rPr>
        <w:t xml:space="preserve"> </w:t>
      </w:r>
      <w:r w:rsidRPr="00C521C3">
        <w:rPr>
          <w:rStyle w:val="element-citation"/>
          <w:rFonts w:asciiTheme="majorBidi" w:hAnsiTheme="majorBidi" w:cstheme="majorBidi"/>
          <w:color w:val="000000" w:themeColor="text1"/>
          <w:sz w:val="24"/>
          <w:szCs w:val="24"/>
        </w:rPr>
        <w:t xml:space="preserve">Söderberg C, Stål P, Askling J, Glaumann H, Lindberg G, Marmur J, Hultcrantz R. Decreased survival of subjects with elevated liver function tests during a 28-year follow-up. </w:t>
      </w:r>
      <w:r w:rsidRPr="00C521C3">
        <w:rPr>
          <w:rStyle w:val="ref-journal"/>
          <w:rFonts w:asciiTheme="majorBidi" w:hAnsiTheme="majorBidi" w:cstheme="majorBidi"/>
          <w:color w:val="000000" w:themeColor="text1"/>
          <w:sz w:val="24"/>
          <w:szCs w:val="24"/>
        </w:rPr>
        <w:t xml:space="preserve">Hepatology.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51</w:t>
      </w:r>
      <w:r w:rsidRPr="00C521C3">
        <w:rPr>
          <w:rStyle w:val="element-citation"/>
          <w:rFonts w:asciiTheme="majorBidi" w:hAnsiTheme="majorBidi" w:cstheme="majorBidi"/>
          <w:color w:val="000000" w:themeColor="text1"/>
          <w:sz w:val="24"/>
          <w:szCs w:val="24"/>
        </w:rPr>
        <w:t>:595–602. [</w:t>
      </w:r>
      <w:hyperlink r:id="rId127"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Pr>
      </w:pPr>
      <w:r w:rsidRPr="00C521C3">
        <w:rPr>
          <w:rFonts w:asciiTheme="majorBidi" w:hAnsiTheme="majorBidi" w:cstheme="majorBidi"/>
          <w:color w:val="000000" w:themeColor="text1"/>
          <w:sz w:val="24"/>
          <w:szCs w:val="24"/>
        </w:rPr>
        <w:t xml:space="preserve">[49] </w:t>
      </w:r>
      <w:r w:rsidRPr="00C521C3">
        <w:rPr>
          <w:rStyle w:val="element-citation"/>
          <w:rFonts w:asciiTheme="majorBidi" w:hAnsiTheme="majorBidi" w:cstheme="majorBidi"/>
          <w:color w:val="000000" w:themeColor="text1"/>
          <w:sz w:val="24"/>
          <w:szCs w:val="24"/>
        </w:rPr>
        <w:t xml:space="preserve">Targher G, Day CP, Bonora E. Risk of cardiovascular disease in patients with nonalcoholic fatty liver disease. </w:t>
      </w:r>
      <w:r w:rsidRPr="00C521C3">
        <w:rPr>
          <w:rStyle w:val="ref-journal"/>
          <w:rFonts w:asciiTheme="majorBidi" w:hAnsiTheme="majorBidi" w:cstheme="majorBidi"/>
          <w:color w:val="000000" w:themeColor="text1"/>
          <w:sz w:val="24"/>
          <w:szCs w:val="24"/>
        </w:rPr>
        <w:t xml:space="preserve">N Engl J Med.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363</w:t>
      </w:r>
      <w:r w:rsidRPr="00C521C3">
        <w:rPr>
          <w:rStyle w:val="element-citation"/>
          <w:rFonts w:asciiTheme="majorBidi" w:hAnsiTheme="majorBidi" w:cstheme="majorBidi"/>
          <w:color w:val="000000" w:themeColor="text1"/>
          <w:sz w:val="24"/>
          <w:szCs w:val="24"/>
        </w:rPr>
        <w:t>:1341–1350. [</w:t>
      </w:r>
      <w:hyperlink r:id="rId128"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91755A" w:rsidRPr="00C521C3" w:rsidRDefault="0091755A" w:rsidP="007146EE">
      <w:pPr>
        <w:rPr>
          <w:rFonts w:asciiTheme="majorBidi" w:hAnsiTheme="majorBidi" w:cstheme="majorBidi"/>
          <w:color w:val="000000" w:themeColor="text1"/>
          <w:sz w:val="24"/>
          <w:szCs w:val="24"/>
          <w:rtl/>
          <w:lang w:bidi="fa-IR"/>
        </w:rPr>
      </w:pPr>
      <w:r w:rsidRPr="00C521C3">
        <w:rPr>
          <w:rFonts w:asciiTheme="majorBidi" w:hAnsiTheme="majorBidi" w:cstheme="majorBidi"/>
          <w:color w:val="000000" w:themeColor="text1"/>
          <w:sz w:val="24"/>
          <w:szCs w:val="24"/>
        </w:rPr>
        <w:t xml:space="preserve"> [50] </w:t>
      </w:r>
      <w:r w:rsidRPr="00C521C3">
        <w:rPr>
          <w:rStyle w:val="element-citation"/>
          <w:rFonts w:asciiTheme="majorBidi" w:hAnsiTheme="majorBidi" w:cstheme="majorBidi"/>
          <w:color w:val="000000" w:themeColor="text1"/>
          <w:sz w:val="24"/>
          <w:szCs w:val="24"/>
        </w:rPr>
        <w:t xml:space="preserve">Tappy L, Lê KA, Tran C, Paquot N. Fructose and metabolic diseases: new findings, new questions. </w:t>
      </w:r>
      <w:r w:rsidRPr="00C521C3">
        <w:rPr>
          <w:rStyle w:val="ref-journal"/>
          <w:rFonts w:asciiTheme="majorBidi" w:hAnsiTheme="majorBidi" w:cstheme="majorBidi"/>
          <w:color w:val="000000" w:themeColor="text1"/>
          <w:sz w:val="24"/>
          <w:szCs w:val="24"/>
        </w:rPr>
        <w:t xml:space="preserve">Nutrition. </w:t>
      </w:r>
      <w:r w:rsidRPr="00C521C3">
        <w:rPr>
          <w:rStyle w:val="element-citation"/>
          <w:rFonts w:asciiTheme="majorBidi" w:hAnsiTheme="majorBidi" w:cstheme="majorBidi"/>
          <w:color w:val="000000" w:themeColor="text1"/>
          <w:sz w:val="24"/>
          <w:szCs w:val="24"/>
        </w:rPr>
        <w:t>2010;</w:t>
      </w:r>
      <w:r w:rsidRPr="00C521C3">
        <w:rPr>
          <w:rStyle w:val="ref-vol"/>
          <w:rFonts w:asciiTheme="majorBidi" w:hAnsiTheme="majorBidi" w:cstheme="majorBidi"/>
          <w:color w:val="000000" w:themeColor="text1"/>
          <w:sz w:val="24"/>
          <w:szCs w:val="24"/>
        </w:rPr>
        <w:t>26</w:t>
      </w:r>
      <w:r w:rsidRPr="00C521C3">
        <w:rPr>
          <w:rStyle w:val="element-citation"/>
          <w:rFonts w:asciiTheme="majorBidi" w:hAnsiTheme="majorBidi" w:cstheme="majorBidi"/>
          <w:color w:val="000000" w:themeColor="text1"/>
          <w:sz w:val="24"/>
          <w:szCs w:val="24"/>
        </w:rPr>
        <w:t>:1044–1049. [</w:t>
      </w:r>
      <w:hyperlink r:id="rId129"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r w:rsidRPr="00C521C3">
        <w:rPr>
          <w:rStyle w:val="element-citation"/>
          <w:rFonts w:asciiTheme="majorBidi" w:hAnsiTheme="majorBidi" w:cstheme="majorBidi"/>
          <w:color w:val="000000" w:themeColor="text1"/>
          <w:sz w:val="24"/>
          <w:szCs w:val="24"/>
        </w:rPr>
        <w:br/>
      </w:r>
      <w:r w:rsidRPr="00C521C3">
        <w:rPr>
          <w:rStyle w:val="element-citation"/>
          <w:rFonts w:asciiTheme="majorBidi" w:hAnsiTheme="majorBidi" w:cstheme="majorBidi"/>
          <w:color w:val="000000" w:themeColor="text1"/>
          <w:sz w:val="24"/>
          <w:szCs w:val="24"/>
        </w:rPr>
        <w:br/>
      </w:r>
      <w:r w:rsidRPr="00C521C3">
        <w:rPr>
          <w:rFonts w:asciiTheme="majorBidi" w:hAnsiTheme="majorBidi" w:cstheme="majorBidi"/>
          <w:color w:val="000000" w:themeColor="text1"/>
          <w:sz w:val="24"/>
          <w:szCs w:val="24"/>
        </w:rPr>
        <w:t xml:space="preserve">[51] </w:t>
      </w:r>
      <w:r w:rsidRPr="00C521C3">
        <w:rPr>
          <w:rStyle w:val="element-citation"/>
          <w:rFonts w:asciiTheme="majorBidi" w:hAnsiTheme="majorBidi" w:cstheme="majorBidi"/>
          <w:color w:val="000000" w:themeColor="text1"/>
          <w:sz w:val="24"/>
          <w:szCs w:val="24"/>
        </w:rPr>
        <w:t xml:space="preserve">Abid A, Taha O, Nseir W, Farah R, Grosovski M, Assy N. Soft drink consumption is associated with fatty liver disease independent of metabolic syndrome. </w:t>
      </w:r>
      <w:r w:rsidRPr="00C521C3">
        <w:rPr>
          <w:rStyle w:val="ref-journal"/>
          <w:rFonts w:asciiTheme="majorBidi" w:hAnsiTheme="majorBidi" w:cstheme="majorBidi"/>
          <w:color w:val="000000" w:themeColor="text1"/>
          <w:sz w:val="24"/>
          <w:szCs w:val="24"/>
        </w:rPr>
        <w:t xml:space="preserve">J Hepatol. </w:t>
      </w:r>
      <w:r w:rsidRPr="00C521C3">
        <w:rPr>
          <w:rStyle w:val="element-citation"/>
          <w:rFonts w:asciiTheme="majorBidi" w:hAnsiTheme="majorBidi" w:cstheme="majorBidi"/>
          <w:color w:val="000000" w:themeColor="text1"/>
          <w:sz w:val="24"/>
          <w:szCs w:val="24"/>
        </w:rPr>
        <w:t>2009;</w:t>
      </w:r>
      <w:r w:rsidRPr="00C521C3">
        <w:rPr>
          <w:rStyle w:val="ref-vol"/>
          <w:rFonts w:asciiTheme="majorBidi" w:hAnsiTheme="majorBidi" w:cstheme="majorBidi"/>
          <w:color w:val="000000" w:themeColor="text1"/>
          <w:sz w:val="24"/>
          <w:szCs w:val="24"/>
        </w:rPr>
        <w:t>51</w:t>
      </w:r>
      <w:r w:rsidRPr="00C521C3">
        <w:rPr>
          <w:rStyle w:val="element-citation"/>
          <w:rFonts w:asciiTheme="majorBidi" w:hAnsiTheme="majorBidi" w:cstheme="majorBidi"/>
          <w:color w:val="000000" w:themeColor="text1"/>
          <w:sz w:val="24"/>
          <w:szCs w:val="24"/>
        </w:rPr>
        <w:t>:918–924. [</w:t>
      </w:r>
      <w:hyperlink r:id="rId130" w:tgtFrame="pmc_ext" w:history="1">
        <w:r w:rsidRPr="00C521C3">
          <w:rPr>
            <w:rStyle w:val="Hyperlink"/>
            <w:rFonts w:asciiTheme="majorBidi" w:hAnsiTheme="majorBidi" w:cstheme="majorBidi"/>
            <w:color w:val="000000" w:themeColor="text1"/>
            <w:sz w:val="24"/>
            <w:szCs w:val="24"/>
            <w:u w:val="none"/>
          </w:rPr>
          <w:t>PubMed</w:t>
        </w:r>
      </w:hyperlink>
      <w:r w:rsidRPr="00C521C3">
        <w:rPr>
          <w:rStyle w:val="element-citation"/>
          <w:rFonts w:asciiTheme="majorBidi" w:hAnsiTheme="majorBidi" w:cstheme="majorBidi"/>
          <w:color w:val="000000" w:themeColor="text1"/>
          <w:sz w:val="24"/>
          <w:szCs w:val="24"/>
        </w:rPr>
        <w:t>]</w:t>
      </w:r>
      <w:r>
        <w:rPr>
          <w:rStyle w:val="element-citation"/>
          <w:rFonts w:asciiTheme="majorBidi" w:hAnsiTheme="majorBidi" w:cstheme="majorBidi"/>
          <w:color w:val="000000" w:themeColor="text1"/>
          <w:sz w:val="24"/>
          <w:szCs w:val="24"/>
        </w:rPr>
        <w:t>.</w:t>
      </w: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Pr="00C521C3" w:rsidRDefault="00B2136C" w:rsidP="0091755A">
      <w:pPr>
        <w:rPr>
          <w:rFonts w:asciiTheme="majorBidi" w:hAnsiTheme="majorBidi" w:cstheme="majorBidi"/>
          <w:color w:val="000000" w:themeColor="text1"/>
          <w:sz w:val="24"/>
          <w:szCs w:val="24"/>
        </w:rPr>
      </w:pPr>
    </w:p>
    <w:p w:rsidR="009D1F44" w:rsidRDefault="00B2136C" w:rsidP="0091755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1755A">
      <w:pPr>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p w:rsidR="00B2136C" w:rsidRDefault="00B2136C" w:rsidP="009D1F44">
      <w:pPr>
        <w:ind w:left="720"/>
        <w:rPr>
          <w:rFonts w:asciiTheme="majorBidi" w:hAnsiTheme="majorBidi" w:cstheme="majorBidi"/>
          <w:color w:val="000000" w:themeColor="text1"/>
          <w:sz w:val="24"/>
          <w:szCs w:val="24"/>
        </w:rPr>
      </w:pPr>
    </w:p>
    <w:sectPr w:rsidR="00B2136C" w:rsidSect="007D3539">
      <w:footerReference w:type="default" r:id="rId13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BBF" w:rsidRDefault="00CC4BBF" w:rsidP="007D3539">
      <w:pPr>
        <w:spacing w:after="0" w:line="240" w:lineRule="auto"/>
      </w:pPr>
      <w:r>
        <w:separator/>
      </w:r>
    </w:p>
  </w:endnote>
  <w:endnote w:type="continuationSeparator" w:id="0">
    <w:p w:rsidR="00CC4BBF" w:rsidRDefault="00CC4BBF" w:rsidP="007D3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Nazanin">
    <w:altName w:val="Courier New"/>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3548652"/>
      <w:docPartObj>
        <w:docPartGallery w:val="Page Numbers (Bottom of Page)"/>
        <w:docPartUnique/>
      </w:docPartObj>
    </w:sdtPr>
    <w:sdtEndPr>
      <w:rPr>
        <w:noProof/>
      </w:rPr>
    </w:sdtEndPr>
    <w:sdtContent>
      <w:p w:rsidR="007D3539" w:rsidRDefault="007D3539">
        <w:pPr>
          <w:pStyle w:val="Footer"/>
          <w:jc w:val="center"/>
        </w:pPr>
        <w:r>
          <w:fldChar w:fldCharType="begin"/>
        </w:r>
        <w:r>
          <w:instrText xml:space="preserve"> PAGE   \* MERGEFORMAT </w:instrText>
        </w:r>
        <w:r>
          <w:fldChar w:fldCharType="separate"/>
        </w:r>
        <w:r w:rsidR="00EE4FEE">
          <w:rPr>
            <w:noProof/>
          </w:rPr>
          <w:t>1</w:t>
        </w:r>
        <w:r>
          <w:rPr>
            <w:noProof/>
          </w:rPr>
          <w:fldChar w:fldCharType="end"/>
        </w:r>
      </w:p>
    </w:sdtContent>
  </w:sdt>
  <w:p w:rsidR="007D3539" w:rsidRDefault="007D35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BBF" w:rsidRDefault="00CC4BBF" w:rsidP="007D3539">
      <w:pPr>
        <w:spacing w:after="0" w:line="240" w:lineRule="auto"/>
      </w:pPr>
      <w:r>
        <w:separator/>
      </w:r>
    </w:p>
  </w:footnote>
  <w:footnote w:type="continuationSeparator" w:id="0">
    <w:p w:rsidR="00CC4BBF" w:rsidRDefault="00CC4BBF" w:rsidP="007D35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8CF"/>
    <w:rsid w:val="00007DBD"/>
    <w:rsid w:val="000853CA"/>
    <w:rsid w:val="000B57AA"/>
    <w:rsid w:val="001233A4"/>
    <w:rsid w:val="0021358C"/>
    <w:rsid w:val="00297252"/>
    <w:rsid w:val="002A73EB"/>
    <w:rsid w:val="00315E3E"/>
    <w:rsid w:val="0033224E"/>
    <w:rsid w:val="0034403C"/>
    <w:rsid w:val="0041591B"/>
    <w:rsid w:val="00455C2C"/>
    <w:rsid w:val="004813E9"/>
    <w:rsid w:val="0048206A"/>
    <w:rsid w:val="00511533"/>
    <w:rsid w:val="00524486"/>
    <w:rsid w:val="00526416"/>
    <w:rsid w:val="00541BEF"/>
    <w:rsid w:val="007146EE"/>
    <w:rsid w:val="00723DDB"/>
    <w:rsid w:val="00781FDC"/>
    <w:rsid w:val="00784A1D"/>
    <w:rsid w:val="007968F7"/>
    <w:rsid w:val="007D3539"/>
    <w:rsid w:val="007D53DB"/>
    <w:rsid w:val="00850BB1"/>
    <w:rsid w:val="00905BEA"/>
    <w:rsid w:val="009107CB"/>
    <w:rsid w:val="0091755A"/>
    <w:rsid w:val="00956F60"/>
    <w:rsid w:val="00997396"/>
    <w:rsid w:val="009D1F44"/>
    <w:rsid w:val="00A328CF"/>
    <w:rsid w:val="00A66D18"/>
    <w:rsid w:val="00B2136C"/>
    <w:rsid w:val="00B468FE"/>
    <w:rsid w:val="00BF6140"/>
    <w:rsid w:val="00C05D7D"/>
    <w:rsid w:val="00C521C3"/>
    <w:rsid w:val="00C539B0"/>
    <w:rsid w:val="00CC4BBF"/>
    <w:rsid w:val="00D7485F"/>
    <w:rsid w:val="00E070BD"/>
    <w:rsid w:val="00E33CE3"/>
    <w:rsid w:val="00E60046"/>
    <w:rsid w:val="00E608E4"/>
    <w:rsid w:val="00EE4FEE"/>
    <w:rsid w:val="00FA3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F1F6A-26F2-4E04-A525-CD0D12D6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84A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50B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28CF"/>
    <w:rPr>
      <w:b/>
      <w:bCs/>
    </w:rPr>
  </w:style>
  <w:style w:type="character" w:styleId="Hyperlink">
    <w:name w:val="Hyperlink"/>
    <w:basedOn w:val="DefaultParagraphFont"/>
    <w:uiPriority w:val="99"/>
    <w:unhideWhenUsed/>
    <w:rsid w:val="00A328CF"/>
    <w:rPr>
      <w:color w:val="0000FF"/>
      <w:u w:val="single"/>
    </w:rPr>
  </w:style>
  <w:style w:type="character" w:customStyle="1" w:styleId="element-citation">
    <w:name w:val="element-citation"/>
    <w:basedOn w:val="DefaultParagraphFont"/>
    <w:rsid w:val="00297252"/>
  </w:style>
  <w:style w:type="character" w:customStyle="1" w:styleId="ref-journal">
    <w:name w:val="ref-journal"/>
    <w:basedOn w:val="DefaultParagraphFont"/>
    <w:rsid w:val="00297252"/>
  </w:style>
  <w:style w:type="character" w:customStyle="1" w:styleId="ref-vol">
    <w:name w:val="ref-vol"/>
    <w:basedOn w:val="DefaultParagraphFont"/>
    <w:rsid w:val="00297252"/>
  </w:style>
  <w:style w:type="paragraph" w:customStyle="1" w:styleId="p">
    <w:name w:val="p"/>
    <w:basedOn w:val="Normal"/>
    <w:rsid w:val="0029725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972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DefaultParagraphFont"/>
    <w:rsid w:val="00297252"/>
  </w:style>
  <w:style w:type="character" w:styleId="Emphasis">
    <w:name w:val="Emphasis"/>
    <w:basedOn w:val="DefaultParagraphFont"/>
    <w:uiPriority w:val="20"/>
    <w:qFormat/>
    <w:rsid w:val="00FA38DD"/>
    <w:rPr>
      <w:i/>
      <w:iCs/>
    </w:rPr>
  </w:style>
  <w:style w:type="character" w:customStyle="1" w:styleId="Heading1Char">
    <w:name w:val="Heading 1 Char"/>
    <w:basedOn w:val="DefaultParagraphFont"/>
    <w:link w:val="Heading1"/>
    <w:uiPriority w:val="9"/>
    <w:rsid w:val="00784A1D"/>
    <w:rPr>
      <w:rFonts w:ascii="Times New Roman" w:eastAsia="Times New Roman" w:hAnsi="Times New Roman" w:cs="Times New Roman"/>
      <w:b/>
      <w:bCs/>
      <w:kern w:val="36"/>
      <w:sz w:val="48"/>
      <w:szCs w:val="48"/>
    </w:rPr>
  </w:style>
  <w:style w:type="character" w:customStyle="1" w:styleId="kwd-text">
    <w:name w:val="kwd-text"/>
    <w:basedOn w:val="DefaultParagraphFont"/>
    <w:rsid w:val="00784A1D"/>
  </w:style>
  <w:style w:type="character" w:customStyle="1" w:styleId="Heading2Char">
    <w:name w:val="Heading 2 Char"/>
    <w:basedOn w:val="DefaultParagraphFont"/>
    <w:link w:val="Heading2"/>
    <w:uiPriority w:val="9"/>
    <w:semiHidden/>
    <w:rsid w:val="00850BB1"/>
    <w:rPr>
      <w:rFonts w:asciiTheme="majorHAnsi" w:eastAsiaTheme="majorEastAsia" w:hAnsiTheme="majorHAnsi" w:cstheme="majorBidi"/>
      <w:color w:val="2E74B5" w:themeColor="accent1" w:themeShade="BF"/>
      <w:sz w:val="26"/>
      <w:szCs w:val="26"/>
    </w:rPr>
  </w:style>
  <w:style w:type="character" w:customStyle="1" w:styleId="anchor-text">
    <w:name w:val="anchor-text"/>
    <w:basedOn w:val="DefaultParagraphFont"/>
    <w:rsid w:val="000853CA"/>
  </w:style>
  <w:style w:type="character" w:styleId="LineNumber">
    <w:name w:val="line number"/>
    <w:basedOn w:val="DefaultParagraphFont"/>
    <w:uiPriority w:val="99"/>
    <w:semiHidden/>
    <w:unhideWhenUsed/>
    <w:rsid w:val="007D3539"/>
  </w:style>
  <w:style w:type="paragraph" w:styleId="Header">
    <w:name w:val="header"/>
    <w:basedOn w:val="Normal"/>
    <w:link w:val="HeaderChar"/>
    <w:uiPriority w:val="99"/>
    <w:unhideWhenUsed/>
    <w:rsid w:val="007D3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539"/>
  </w:style>
  <w:style w:type="paragraph" w:styleId="Footer">
    <w:name w:val="footer"/>
    <w:basedOn w:val="Normal"/>
    <w:link w:val="FooterChar"/>
    <w:uiPriority w:val="99"/>
    <w:unhideWhenUsed/>
    <w:rsid w:val="007D3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8812">
      <w:bodyDiv w:val="1"/>
      <w:marLeft w:val="0"/>
      <w:marRight w:val="0"/>
      <w:marTop w:val="0"/>
      <w:marBottom w:val="0"/>
      <w:divBdr>
        <w:top w:val="none" w:sz="0" w:space="0" w:color="auto"/>
        <w:left w:val="none" w:sz="0" w:space="0" w:color="auto"/>
        <w:bottom w:val="none" w:sz="0" w:space="0" w:color="auto"/>
        <w:right w:val="none" w:sz="0" w:space="0" w:color="auto"/>
      </w:divBdr>
      <w:divsChild>
        <w:div w:id="775448596">
          <w:marLeft w:val="0"/>
          <w:marRight w:val="0"/>
          <w:marTop w:val="0"/>
          <w:marBottom w:val="0"/>
          <w:divBdr>
            <w:top w:val="none" w:sz="0" w:space="0" w:color="auto"/>
            <w:left w:val="none" w:sz="0" w:space="0" w:color="auto"/>
            <w:bottom w:val="none" w:sz="0" w:space="0" w:color="auto"/>
            <w:right w:val="none" w:sz="0" w:space="0" w:color="auto"/>
          </w:divBdr>
        </w:div>
        <w:div w:id="1648893661">
          <w:marLeft w:val="0"/>
          <w:marRight w:val="0"/>
          <w:marTop w:val="0"/>
          <w:marBottom w:val="0"/>
          <w:divBdr>
            <w:top w:val="none" w:sz="0" w:space="0" w:color="auto"/>
            <w:left w:val="none" w:sz="0" w:space="0" w:color="auto"/>
            <w:bottom w:val="none" w:sz="0" w:space="0" w:color="auto"/>
            <w:right w:val="none" w:sz="0" w:space="0" w:color="auto"/>
          </w:divBdr>
        </w:div>
      </w:divsChild>
    </w:div>
    <w:div w:id="141510039">
      <w:bodyDiv w:val="1"/>
      <w:marLeft w:val="0"/>
      <w:marRight w:val="0"/>
      <w:marTop w:val="0"/>
      <w:marBottom w:val="0"/>
      <w:divBdr>
        <w:top w:val="none" w:sz="0" w:space="0" w:color="auto"/>
        <w:left w:val="none" w:sz="0" w:space="0" w:color="auto"/>
        <w:bottom w:val="none" w:sz="0" w:space="0" w:color="auto"/>
        <w:right w:val="none" w:sz="0" w:space="0" w:color="auto"/>
      </w:divBdr>
      <w:divsChild>
        <w:div w:id="1392725641">
          <w:marLeft w:val="0"/>
          <w:marRight w:val="0"/>
          <w:marTop w:val="0"/>
          <w:marBottom w:val="0"/>
          <w:divBdr>
            <w:top w:val="none" w:sz="0" w:space="0" w:color="auto"/>
            <w:left w:val="none" w:sz="0" w:space="0" w:color="auto"/>
            <w:bottom w:val="none" w:sz="0" w:space="0" w:color="auto"/>
            <w:right w:val="none" w:sz="0" w:space="0" w:color="auto"/>
          </w:divBdr>
          <w:divsChild>
            <w:div w:id="654530415">
              <w:marLeft w:val="0"/>
              <w:marRight w:val="0"/>
              <w:marTop w:val="0"/>
              <w:marBottom w:val="0"/>
              <w:divBdr>
                <w:top w:val="none" w:sz="0" w:space="0" w:color="auto"/>
                <w:left w:val="none" w:sz="0" w:space="0" w:color="auto"/>
                <w:bottom w:val="none" w:sz="0" w:space="0" w:color="auto"/>
                <w:right w:val="none" w:sz="0" w:space="0" w:color="auto"/>
              </w:divBdr>
            </w:div>
            <w:div w:id="1492984575">
              <w:marLeft w:val="0"/>
              <w:marRight w:val="0"/>
              <w:marTop w:val="0"/>
              <w:marBottom w:val="0"/>
              <w:divBdr>
                <w:top w:val="none" w:sz="0" w:space="0" w:color="auto"/>
                <w:left w:val="none" w:sz="0" w:space="0" w:color="auto"/>
                <w:bottom w:val="none" w:sz="0" w:space="0" w:color="auto"/>
                <w:right w:val="none" w:sz="0" w:space="0" w:color="auto"/>
              </w:divBdr>
            </w:div>
            <w:div w:id="762144542">
              <w:marLeft w:val="0"/>
              <w:marRight w:val="0"/>
              <w:marTop w:val="0"/>
              <w:marBottom w:val="0"/>
              <w:divBdr>
                <w:top w:val="none" w:sz="0" w:space="0" w:color="auto"/>
                <w:left w:val="none" w:sz="0" w:space="0" w:color="auto"/>
                <w:bottom w:val="none" w:sz="0" w:space="0" w:color="auto"/>
                <w:right w:val="none" w:sz="0" w:space="0" w:color="auto"/>
              </w:divBdr>
            </w:div>
            <w:div w:id="143590857">
              <w:marLeft w:val="0"/>
              <w:marRight w:val="0"/>
              <w:marTop w:val="0"/>
              <w:marBottom w:val="0"/>
              <w:divBdr>
                <w:top w:val="none" w:sz="0" w:space="0" w:color="auto"/>
                <w:left w:val="none" w:sz="0" w:space="0" w:color="auto"/>
                <w:bottom w:val="none" w:sz="0" w:space="0" w:color="auto"/>
                <w:right w:val="none" w:sz="0" w:space="0" w:color="auto"/>
              </w:divBdr>
            </w:div>
            <w:div w:id="2000497036">
              <w:marLeft w:val="0"/>
              <w:marRight w:val="0"/>
              <w:marTop w:val="0"/>
              <w:marBottom w:val="0"/>
              <w:divBdr>
                <w:top w:val="none" w:sz="0" w:space="0" w:color="auto"/>
                <w:left w:val="none" w:sz="0" w:space="0" w:color="auto"/>
                <w:bottom w:val="none" w:sz="0" w:space="0" w:color="auto"/>
                <w:right w:val="none" w:sz="0" w:space="0" w:color="auto"/>
              </w:divBdr>
            </w:div>
            <w:div w:id="1892418014">
              <w:marLeft w:val="0"/>
              <w:marRight w:val="0"/>
              <w:marTop w:val="0"/>
              <w:marBottom w:val="0"/>
              <w:divBdr>
                <w:top w:val="none" w:sz="0" w:space="0" w:color="auto"/>
                <w:left w:val="none" w:sz="0" w:space="0" w:color="auto"/>
                <w:bottom w:val="none" w:sz="0" w:space="0" w:color="auto"/>
                <w:right w:val="none" w:sz="0" w:space="0" w:color="auto"/>
              </w:divBdr>
            </w:div>
            <w:div w:id="737287475">
              <w:marLeft w:val="0"/>
              <w:marRight w:val="0"/>
              <w:marTop w:val="0"/>
              <w:marBottom w:val="0"/>
              <w:divBdr>
                <w:top w:val="none" w:sz="0" w:space="0" w:color="auto"/>
                <w:left w:val="none" w:sz="0" w:space="0" w:color="auto"/>
                <w:bottom w:val="none" w:sz="0" w:space="0" w:color="auto"/>
                <w:right w:val="none" w:sz="0" w:space="0" w:color="auto"/>
              </w:divBdr>
            </w:div>
            <w:div w:id="896892083">
              <w:marLeft w:val="0"/>
              <w:marRight w:val="0"/>
              <w:marTop w:val="0"/>
              <w:marBottom w:val="0"/>
              <w:divBdr>
                <w:top w:val="none" w:sz="0" w:space="0" w:color="auto"/>
                <w:left w:val="none" w:sz="0" w:space="0" w:color="auto"/>
                <w:bottom w:val="none" w:sz="0" w:space="0" w:color="auto"/>
                <w:right w:val="none" w:sz="0" w:space="0" w:color="auto"/>
              </w:divBdr>
            </w:div>
            <w:div w:id="21436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471156">
      <w:bodyDiv w:val="1"/>
      <w:marLeft w:val="0"/>
      <w:marRight w:val="0"/>
      <w:marTop w:val="0"/>
      <w:marBottom w:val="0"/>
      <w:divBdr>
        <w:top w:val="none" w:sz="0" w:space="0" w:color="auto"/>
        <w:left w:val="none" w:sz="0" w:space="0" w:color="auto"/>
        <w:bottom w:val="none" w:sz="0" w:space="0" w:color="auto"/>
        <w:right w:val="none" w:sz="0" w:space="0" w:color="auto"/>
      </w:divBdr>
      <w:divsChild>
        <w:div w:id="291637461">
          <w:marLeft w:val="0"/>
          <w:marRight w:val="0"/>
          <w:marTop w:val="0"/>
          <w:marBottom w:val="0"/>
          <w:divBdr>
            <w:top w:val="none" w:sz="0" w:space="0" w:color="auto"/>
            <w:left w:val="none" w:sz="0" w:space="0" w:color="auto"/>
            <w:bottom w:val="none" w:sz="0" w:space="0" w:color="auto"/>
            <w:right w:val="none" w:sz="0" w:space="0" w:color="auto"/>
          </w:divBdr>
        </w:div>
        <w:div w:id="1386643088">
          <w:marLeft w:val="0"/>
          <w:marRight w:val="0"/>
          <w:marTop w:val="0"/>
          <w:marBottom w:val="0"/>
          <w:divBdr>
            <w:top w:val="none" w:sz="0" w:space="0" w:color="auto"/>
            <w:left w:val="none" w:sz="0" w:space="0" w:color="auto"/>
            <w:bottom w:val="none" w:sz="0" w:space="0" w:color="auto"/>
            <w:right w:val="none" w:sz="0" w:space="0" w:color="auto"/>
          </w:divBdr>
        </w:div>
      </w:divsChild>
    </w:div>
    <w:div w:id="290284728">
      <w:bodyDiv w:val="1"/>
      <w:marLeft w:val="0"/>
      <w:marRight w:val="0"/>
      <w:marTop w:val="0"/>
      <w:marBottom w:val="0"/>
      <w:divBdr>
        <w:top w:val="none" w:sz="0" w:space="0" w:color="auto"/>
        <w:left w:val="none" w:sz="0" w:space="0" w:color="auto"/>
        <w:bottom w:val="none" w:sz="0" w:space="0" w:color="auto"/>
        <w:right w:val="none" w:sz="0" w:space="0" w:color="auto"/>
      </w:divBdr>
      <w:divsChild>
        <w:div w:id="1799688523">
          <w:marLeft w:val="0"/>
          <w:marRight w:val="0"/>
          <w:marTop w:val="0"/>
          <w:marBottom w:val="0"/>
          <w:divBdr>
            <w:top w:val="none" w:sz="0" w:space="0" w:color="auto"/>
            <w:left w:val="none" w:sz="0" w:space="0" w:color="auto"/>
            <w:bottom w:val="none" w:sz="0" w:space="0" w:color="auto"/>
            <w:right w:val="none" w:sz="0" w:space="0" w:color="auto"/>
          </w:divBdr>
        </w:div>
        <w:div w:id="2091727413">
          <w:marLeft w:val="0"/>
          <w:marRight w:val="0"/>
          <w:marTop w:val="0"/>
          <w:marBottom w:val="0"/>
          <w:divBdr>
            <w:top w:val="none" w:sz="0" w:space="0" w:color="auto"/>
            <w:left w:val="none" w:sz="0" w:space="0" w:color="auto"/>
            <w:bottom w:val="none" w:sz="0" w:space="0" w:color="auto"/>
            <w:right w:val="none" w:sz="0" w:space="0" w:color="auto"/>
          </w:divBdr>
        </w:div>
      </w:divsChild>
    </w:div>
    <w:div w:id="31086770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2">
          <w:marLeft w:val="0"/>
          <w:marRight w:val="0"/>
          <w:marTop w:val="0"/>
          <w:marBottom w:val="0"/>
          <w:divBdr>
            <w:top w:val="none" w:sz="0" w:space="0" w:color="auto"/>
            <w:left w:val="none" w:sz="0" w:space="0" w:color="auto"/>
            <w:bottom w:val="none" w:sz="0" w:space="0" w:color="auto"/>
            <w:right w:val="none" w:sz="0" w:space="0" w:color="auto"/>
          </w:divBdr>
        </w:div>
        <w:div w:id="1280257567">
          <w:marLeft w:val="0"/>
          <w:marRight w:val="0"/>
          <w:marTop w:val="0"/>
          <w:marBottom w:val="0"/>
          <w:divBdr>
            <w:top w:val="none" w:sz="0" w:space="0" w:color="auto"/>
            <w:left w:val="none" w:sz="0" w:space="0" w:color="auto"/>
            <w:bottom w:val="none" w:sz="0" w:space="0" w:color="auto"/>
            <w:right w:val="none" w:sz="0" w:space="0" w:color="auto"/>
          </w:divBdr>
        </w:div>
        <w:div w:id="1947499834">
          <w:marLeft w:val="0"/>
          <w:marRight w:val="0"/>
          <w:marTop w:val="0"/>
          <w:marBottom w:val="0"/>
          <w:divBdr>
            <w:top w:val="none" w:sz="0" w:space="0" w:color="auto"/>
            <w:left w:val="none" w:sz="0" w:space="0" w:color="auto"/>
            <w:bottom w:val="none" w:sz="0" w:space="0" w:color="auto"/>
            <w:right w:val="none" w:sz="0" w:space="0" w:color="auto"/>
          </w:divBdr>
        </w:div>
        <w:div w:id="1487623202">
          <w:marLeft w:val="0"/>
          <w:marRight w:val="0"/>
          <w:marTop w:val="0"/>
          <w:marBottom w:val="0"/>
          <w:divBdr>
            <w:top w:val="none" w:sz="0" w:space="0" w:color="auto"/>
            <w:left w:val="none" w:sz="0" w:space="0" w:color="auto"/>
            <w:bottom w:val="none" w:sz="0" w:space="0" w:color="auto"/>
            <w:right w:val="none" w:sz="0" w:space="0" w:color="auto"/>
          </w:divBdr>
        </w:div>
        <w:div w:id="976371681">
          <w:marLeft w:val="0"/>
          <w:marRight w:val="0"/>
          <w:marTop w:val="0"/>
          <w:marBottom w:val="0"/>
          <w:divBdr>
            <w:top w:val="none" w:sz="0" w:space="0" w:color="auto"/>
            <w:left w:val="none" w:sz="0" w:space="0" w:color="auto"/>
            <w:bottom w:val="none" w:sz="0" w:space="0" w:color="auto"/>
            <w:right w:val="none" w:sz="0" w:space="0" w:color="auto"/>
          </w:divBdr>
        </w:div>
        <w:div w:id="1044915052">
          <w:marLeft w:val="0"/>
          <w:marRight w:val="0"/>
          <w:marTop w:val="0"/>
          <w:marBottom w:val="0"/>
          <w:divBdr>
            <w:top w:val="none" w:sz="0" w:space="0" w:color="auto"/>
            <w:left w:val="none" w:sz="0" w:space="0" w:color="auto"/>
            <w:bottom w:val="none" w:sz="0" w:space="0" w:color="auto"/>
            <w:right w:val="none" w:sz="0" w:space="0" w:color="auto"/>
          </w:divBdr>
        </w:div>
        <w:div w:id="114829820">
          <w:marLeft w:val="0"/>
          <w:marRight w:val="0"/>
          <w:marTop w:val="0"/>
          <w:marBottom w:val="0"/>
          <w:divBdr>
            <w:top w:val="none" w:sz="0" w:space="0" w:color="auto"/>
            <w:left w:val="none" w:sz="0" w:space="0" w:color="auto"/>
            <w:bottom w:val="none" w:sz="0" w:space="0" w:color="auto"/>
            <w:right w:val="none" w:sz="0" w:space="0" w:color="auto"/>
          </w:divBdr>
        </w:div>
        <w:div w:id="835263641">
          <w:marLeft w:val="0"/>
          <w:marRight w:val="0"/>
          <w:marTop w:val="0"/>
          <w:marBottom w:val="0"/>
          <w:divBdr>
            <w:top w:val="none" w:sz="0" w:space="0" w:color="auto"/>
            <w:left w:val="none" w:sz="0" w:space="0" w:color="auto"/>
            <w:bottom w:val="none" w:sz="0" w:space="0" w:color="auto"/>
            <w:right w:val="none" w:sz="0" w:space="0" w:color="auto"/>
          </w:divBdr>
        </w:div>
        <w:div w:id="920330191">
          <w:marLeft w:val="0"/>
          <w:marRight w:val="0"/>
          <w:marTop w:val="0"/>
          <w:marBottom w:val="0"/>
          <w:divBdr>
            <w:top w:val="none" w:sz="0" w:space="0" w:color="auto"/>
            <w:left w:val="none" w:sz="0" w:space="0" w:color="auto"/>
            <w:bottom w:val="none" w:sz="0" w:space="0" w:color="auto"/>
            <w:right w:val="none" w:sz="0" w:space="0" w:color="auto"/>
          </w:divBdr>
        </w:div>
        <w:div w:id="1789155596">
          <w:marLeft w:val="0"/>
          <w:marRight w:val="0"/>
          <w:marTop w:val="0"/>
          <w:marBottom w:val="0"/>
          <w:divBdr>
            <w:top w:val="none" w:sz="0" w:space="0" w:color="auto"/>
            <w:left w:val="none" w:sz="0" w:space="0" w:color="auto"/>
            <w:bottom w:val="none" w:sz="0" w:space="0" w:color="auto"/>
            <w:right w:val="none" w:sz="0" w:space="0" w:color="auto"/>
          </w:divBdr>
        </w:div>
        <w:div w:id="1390765397">
          <w:marLeft w:val="0"/>
          <w:marRight w:val="0"/>
          <w:marTop w:val="0"/>
          <w:marBottom w:val="0"/>
          <w:divBdr>
            <w:top w:val="none" w:sz="0" w:space="0" w:color="auto"/>
            <w:left w:val="none" w:sz="0" w:space="0" w:color="auto"/>
            <w:bottom w:val="none" w:sz="0" w:space="0" w:color="auto"/>
            <w:right w:val="none" w:sz="0" w:space="0" w:color="auto"/>
          </w:divBdr>
        </w:div>
        <w:div w:id="658309687">
          <w:marLeft w:val="0"/>
          <w:marRight w:val="0"/>
          <w:marTop w:val="0"/>
          <w:marBottom w:val="0"/>
          <w:divBdr>
            <w:top w:val="none" w:sz="0" w:space="0" w:color="auto"/>
            <w:left w:val="none" w:sz="0" w:space="0" w:color="auto"/>
            <w:bottom w:val="none" w:sz="0" w:space="0" w:color="auto"/>
            <w:right w:val="none" w:sz="0" w:space="0" w:color="auto"/>
          </w:divBdr>
        </w:div>
        <w:div w:id="2087219745">
          <w:marLeft w:val="0"/>
          <w:marRight w:val="0"/>
          <w:marTop w:val="0"/>
          <w:marBottom w:val="0"/>
          <w:divBdr>
            <w:top w:val="none" w:sz="0" w:space="0" w:color="auto"/>
            <w:left w:val="none" w:sz="0" w:space="0" w:color="auto"/>
            <w:bottom w:val="none" w:sz="0" w:space="0" w:color="auto"/>
            <w:right w:val="none" w:sz="0" w:space="0" w:color="auto"/>
          </w:divBdr>
        </w:div>
        <w:div w:id="367607062">
          <w:marLeft w:val="0"/>
          <w:marRight w:val="0"/>
          <w:marTop w:val="0"/>
          <w:marBottom w:val="0"/>
          <w:divBdr>
            <w:top w:val="none" w:sz="0" w:space="0" w:color="auto"/>
            <w:left w:val="none" w:sz="0" w:space="0" w:color="auto"/>
            <w:bottom w:val="none" w:sz="0" w:space="0" w:color="auto"/>
            <w:right w:val="none" w:sz="0" w:space="0" w:color="auto"/>
          </w:divBdr>
        </w:div>
      </w:divsChild>
    </w:div>
    <w:div w:id="359598277">
      <w:bodyDiv w:val="1"/>
      <w:marLeft w:val="0"/>
      <w:marRight w:val="0"/>
      <w:marTop w:val="0"/>
      <w:marBottom w:val="0"/>
      <w:divBdr>
        <w:top w:val="none" w:sz="0" w:space="0" w:color="auto"/>
        <w:left w:val="none" w:sz="0" w:space="0" w:color="auto"/>
        <w:bottom w:val="none" w:sz="0" w:space="0" w:color="auto"/>
        <w:right w:val="none" w:sz="0" w:space="0" w:color="auto"/>
      </w:divBdr>
    </w:div>
    <w:div w:id="495340297">
      <w:bodyDiv w:val="1"/>
      <w:marLeft w:val="0"/>
      <w:marRight w:val="0"/>
      <w:marTop w:val="0"/>
      <w:marBottom w:val="0"/>
      <w:divBdr>
        <w:top w:val="none" w:sz="0" w:space="0" w:color="auto"/>
        <w:left w:val="none" w:sz="0" w:space="0" w:color="auto"/>
        <w:bottom w:val="none" w:sz="0" w:space="0" w:color="auto"/>
        <w:right w:val="none" w:sz="0" w:space="0" w:color="auto"/>
      </w:divBdr>
      <w:divsChild>
        <w:div w:id="2130465387">
          <w:marLeft w:val="0"/>
          <w:marRight w:val="0"/>
          <w:marTop w:val="0"/>
          <w:marBottom w:val="0"/>
          <w:divBdr>
            <w:top w:val="none" w:sz="0" w:space="0" w:color="auto"/>
            <w:left w:val="none" w:sz="0" w:space="0" w:color="auto"/>
            <w:bottom w:val="none" w:sz="0" w:space="0" w:color="auto"/>
            <w:right w:val="none" w:sz="0" w:space="0" w:color="auto"/>
          </w:divBdr>
        </w:div>
        <w:div w:id="1617248540">
          <w:marLeft w:val="0"/>
          <w:marRight w:val="0"/>
          <w:marTop w:val="0"/>
          <w:marBottom w:val="0"/>
          <w:divBdr>
            <w:top w:val="none" w:sz="0" w:space="0" w:color="auto"/>
            <w:left w:val="none" w:sz="0" w:space="0" w:color="auto"/>
            <w:bottom w:val="none" w:sz="0" w:space="0" w:color="auto"/>
            <w:right w:val="none" w:sz="0" w:space="0" w:color="auto"/>
          </w:divBdr>
        </w:div>
        <w:div w:id="1552615747">
          <w:marLeft w:val="0"/>
          <w:marRight w:val="0"/>
          <w:marTop w:val="0"/>
          <w:marBottom w:val="0"/>
          <w:divBdr>
            <w:top w:val="none" w:sz="0" w:space="0" w:color="auto"/>
            <w:left w:val="none" w:sz="0" w:space="0" w:color="auto"/>
            <w:bottom w:val="none" w:sz="0" w:space="0" w:color="auto"/>
            <w:right w:val="none" w:sz="0" w:space="0" w:color="auto"/>
          </w:divBdr>
        </w:div>
        <w:div w:id="1296914058">
          <w:marLeft w:val="0"/>
          <w:marRight w:val="0"/>
          <w:marTop w:val="0"/>
          <w:marBottom w:val="0"/>
          <w:divBdr>
            <w:top w:val="none" w:sz="0" w:space="0" w:color="auto"/>
            <w:left w:val="none" w:sz="0" w:space="0" w:color="auto"/>
            <w:bottom w:val="none" w:sz="0" w:space="0" w:color="auto"/>
            <w:right w:val="none" w:sz="0" w:space="0" w:color="auto"/>
          </w:divBdr>
        </w:div>
        <w:div w:id="479152920">
          <w:marLeft w:val="0"/>
          <w:marRight w:val="0"/>
          <w:marTop w:val="0"/>
          <w:marBottom w:val="0"/>
          <w:divBdr>
            <w:top w:val="none" w:sz="0" w:space="0" w:color="auto"/>
            <w:left w:val="none" w:sz="0" w:space="0" w:color="auto"/>
            <w:bottom w:val="none" w:sz="0" w:space="0" w:color="auto"/>
            <w:right w:val="none" w:sz="0" w:space="0" w:color="auto"/>
          </w:divBdr>
        </w:div>
        <w:div w:id="1746876359">
          <w:marLeft w:val="0"/>
          <w:marRight w:val="0"/>
          <w:marTop w:val="0"/>
          <w:marBottom w:val="0"/>
          <w:divBdr>
            <w:top w:val="none" w:sz="0" w:space="0" w:color="auto"/>
            <w:left w:val="none" w:sz="0" w:space="0" w:color="auto"/>
            <w:bottom w:val="none" w:sz="0" w:space="0" w:color="auto"/>
            <w:right w:val="none" w:sz="0" w:space="0" w:color="auto"/>
          </w:divBdr>
        </w:div>
        <w:div w:id="1776705985">
          <w:marLeft w:val="0"/>
          <w:marRight w:val="0"/>
          <w:marTop w:val="0"/>
          <w:marBottom w:val="0"/>
          <w:divBdr>
            <w:top w:val="none" w:sz="0" w:space="0" w:color="auto"/>
            <w:left w:val="none" w:sz="0" w:space="0" w:color="auto"/>
            <w:bottom w:val="none" w:sz="0" w:space="0" w:color="auto"/>
            <w:right w:val="none" w:sz="0" w:space="0" w:color="auto"/>
          </w:divBdr>
        </w:div>
        <w:div w:id="1156724714">
          <w:marLeft w:val="0"/>
          <w:marRight w:val="0"/>
          <w:marTop w:val="0"/>
          <w:marBottom w:val="0"/>
          <w:divBdr>
            <w:top w:val="none" w:sz="0" w:space="0" w:color="auto"/>
            <w:left w:val="none" w:sz="0" w:space="0" w:color="auto"/>
            <w:bottom w:val="none" w:sz="0" w:space="0" w:color="auto"/>
            <w:right w:val="none" w:sz="0" w:space="0" w:color="auto"/>
          </w:divBdr>
        </w:div>
      </w:divsChild>
    </w:div>
    <w:div w:id="539825252">
      <w:bodyDiv w:val="1"/>
      <w:marLeft w:val="0"/>
      <w:marRight w:val="0"/>
      <w:marTop w:val="0"/>
      <w:marBottom w:val="0"/>
      <w:divBdr>
        <w:top w:val="none" w:sz="0" w:space="0" w:color="auto"/>
        <w:left w:val="none" w:sz="0" w:space="0" w:color="auto"/>
        <w:bottom w:val="none" w:sz="0" w:space="0" w:color="auto"/>
        <w:right w:val="none" w:sz="0" w:space="0" w:color="auto"/>
      </w:divBdr>
    </w:div>
    <w:div w:id="664672456">
      <w:bodyDiv w:val="1"/>
      <w:marLeft w:val="0"/>
      <w:marRight w:val="0"/>
      <w:marTop w:val="0"/>
      <w:marBottom w:val="0"/>
      <w:divBdr>
        <w:top w:val="none" w:sz="0" w:space="0" w:color="auto"/>
        <w:left w:val="none" w:sz="0" w:space="0" w:color="auto"/>
        <w:bottom w:val="none" w:sz="0" w:space="0" w:color="auto"/>
        <w:right w:val="none" w:sz="0" w:space="0" w:color="auto"/>
      </w:divBdr>
      <w:divsChild>
        <w:div w:id="1952206978">
          <w:marLeft w:val="0"/>
          <w:marRight w:val="0"/>
          <w:marTop w:val="0"/>
          <w:marBottom w:val="0"/>
          <w:divBdr>
            <w:top w:val="none" w:sz="0" w:space="0" w:color="auto"/>
            <w:left w:val="none" w:sz="0" w:space="0" w:color="auto"/>
            <w:bottom w:val="none" w:sz="0" w:space="0" w:color="auto"/>
            <w:right w:val="none" w:sz="0" w:space="0" w:color="auto"/>
          </w:divBdr>
        </w:div>
      </w:divsChild>
    </w:div>
    <w:div w:id="876697136">
      <w:bodyDiv w:val="1"/>
      <w:marLeft w:val="0"/>
      <w:marRight w:val="0"/>
      <w:marTop w:val="0"/>
      <w:marBottom w:val="0"/>
      <w:divBdr>
        <w:top w:val="none" w:sz="0" w:space="0" w:color="auto"/>
        <w:left w:val="none" w:sz="0" w:space="0" w:color="auto"/>
        <w:bottom w:val="none" w:sz="0" w:space="0" w:color="auto"/>
        <w:right w:val="none" w:sz="0" w:space="0" w:color="auto"/>
      </w:divBdr>
      <w:divsChild>
        <w:div w:id="544103978">
          <w:marLeft w:val="0"/>
          <w:marRight w:val="0"/>
          <w:marTop w:val="0"/>
          <w:marBottom w:val="0"/>
          <w:divBdr>
            <w:top w:val="none" w:sz="0" w:space="0" w:color="auto"/>
            <w:left w:val="none" w:sz="0" w:space="0" w:color="auto"/>
            <w:bottom w:val="none" w:sz="0" w:space="0" w:color="auto"/>
            <w:right w:val="none" w:sz="0" w:space="0" w:color="auto"/>
          </w:divBdr>
        </w:div>
        <w:div w:id="156651660">
          <w:marLeft w:val="0"/>
          <w:marRight w:val="0"/>
          <w:marTop w:val="0"/>
          <w:marBottom w:val="0"/>
          <w:divBdr>
            <w:top w:val="none" w:sz="0" w:space="0" w:color="auto"/>
            <w:left w:val="none" w:sz="0" w:space="0" w:color="auto"/>
            <w:bottom w:val="none" w:sz="0" w:space="0" w:color="auto"/>
            <w:right w:val="none" w:sz="0" w:space="0" w:color="auto"/>
          </w:divBdr>
        </w:div>
      </w:divsChild>
    </w:div>
    <w:div w:id="903641780">
      <w:bodyDiv w:val="1"/>
      <w:marLeft w:val="0"/>
      <w:marRight w:val="0"/>
      <w:marTop w:val="0"/>
      <w:marBottom w:val="0"/>
      <w:divBdr>
        <w:top w:val="none" w:sz="0" w:space="0" w:color="auto"/>
        <w:left w:val="none" w:sz="0" w:space="0" w:color="auto"/>
        <w:bottom w:val="none" w:sz="0" w:space="0" w:color="auto"/>
        <w:right w:val="none" w:sz="0" w:space="0" w:color="auto"/>
      </w:divBdr>
      <w:divsChild>
        <w:div w:id="1247810532">
          <w:marLeft w:val="0"/>
          <w:marRight w:val="0"/>
          <w:marTop w:val="0"/>
          <w:marBottom w:val="0"/>
          <w:divBdr>
            <w:top w:val="none" w:sz="0" w:space="0" w:color="auto"/>
            <w:left w:val="none" w:sz="0" w:space="0" w:color="auto"/>
            <w:bottom w:val="none" w:sz="0" w:space="0" w:color="auto"/>
            <w:right w:val="none" w:sz="0" w:space="0" w:color="auto"/>
          </w:divBdr>
        </w:div>
        <w:div w:id="259412196">
          <w:marLeft w:val="0"/>
          <w:marRight w:val="0"/>
          <w:marTop w:val="0"/>
          <w:marBottom w:val="0"/>
          <w:divBdr>
            <w:top w:val="none" w:sz="0" w:space="0" w:color="auto"/>
            <w:left w:val="none" w:sz="0" w:space="0" w:color="auto"/>
            <w:bottom w:val="none" w:sz="0" w:space="0" w:color="auto"/>
            <w:right w:val="none" w:sz="0" w:space="0" w:color="auto"/>
          </w:divBdr>
        </w:div>
        <w:div w:id="1640262056">
          <w:marLeft w:val="0"/>
          <w:marRight w:val="0"/>
          <w:marTop w:val="0"/>
          <w:marBottom w:val="0"/>
          <w:divBdr>
            <w:top w:val="none" w:sz="0" w:space="0" w:color="auto"/>
            <w:left w:val="none" w:sz="0" w:space="0" w:color="auto"/>
            <w:bottom w:val="none" w:sz="0" w:space="0" w:color="auto"/>
            <w:right w:val="none" w:sz="0" w:space="0" w:color="auto"/>
          </w:divBdr>
        </w:div>
        <w:div w:id="1840653081">
          <w:marLeft w:val="0"/>
          <w:marRight w:val="0"/>
          <w:marTop w:val="0"/>
          <w:marBottom w:val="0"/>
          <w:divBdr>
            <w:top w:val="none" w:sz="0" w:space="0" w:color="auto"/>
            <w:left w:val="none" w:sz="0" w:space="0" w:color="auto"/>
            <w:bottom w:val="none" w:sz="0" w:space="0" w:color="auto"/>
            <w:right w:val="none" w:sz="0" w:space="0" w:color="auto"/>
          </w:divBdr>
        </w:div>
        <w:div w:id="2120292709">
          <w:marLeft w:val="0"/>
          <w:marRight w:val="0"/>
          <w:marTop w:val="0"/>
          <w:marBottom w:val="0"/>
          <w:divBdr>
            <w:top w:val="none" w:sz="0" w:space="0" w:color="auto"/>
            <w:left w:val="none" w:sz="0" w:space="0" w:color="auto"/>
            <w:bottom w:val="none" w:sz="0" w:space="0" w:color="auto"/>
            <w:right w:val="none" w:sz="0" w:space="0" w:color="auto"/>
          </w:divBdr>
        </w:div>
      </w:divsChild>
    </w:div>
    <w:div w:id="987780658">
      <w:bodyDiv w:val="1"/>
      <w:marLeft w:val="0"/>
      <w:marRight w:val="0"/>
      <w:marTop w:val="0"/>
      <w:marBottom w:val="0"/>
      <w:divBdr>
        <w:top w:val="none" w:sz="0" w:space="0" w:color="auto"/>
        <w:left w:val="none" w:sz="0" w:space="0" w:color="auto"/>
        <w:bottom w:val="none" w:sz="0" w:space="0" w:color="auto"/>
        <w:right w:val="none" w:sz="0" w:space="0" w:color="auto"/>
      </w:divBdr>
      <w:divsChild>
        <w:div w:id="815728386">
          <w:marLeft w:val="0"/>
          <w:marRight w:val="0"/>
          <w:marTop w:val="0"/>
          <w:marBottom w:val="0"/>
          <w:divBdr>
            <w:top w:val="none" w:sz="0" w:space="0" w:color="auto"/>
            <w:left w:val="none" w:sz="0" w:space="0" w:color="auto"/>
            <w:bottom w:val="none" w:sz="0" w:space="0" w:color="auto"/>
            <w:right w:val="none" w:sz="0" w:space="0" w:color="auto"/>
          </w:divBdr>
        </w:div>
        <w:div w:id="1870216171">
          <w:marLeft w:val="0"/>
          <w:marRight w:val="0"/>
          <w:marTop w:val="0"/>
          <w:marBottom w:val="0"/>
          <w:divBdr>
            <w:top w:val="none" w:sz="0" w:space="0" w:color="auto"/>
            <w:left w:val="none" w:sz="0" w:space="0" w:color="auto"/>
            <w:bottom w:val="none" w:sz="0" w:space="0" w:color="auto"/>
            <w:right w:val="none" w:sz="0" w:space="0" w:color="auto"/>
          </w:divBdr>
        </w:div>
      </w:divsChild>
    </w:div>
    <w:div w:id="1240365489">
      <w:bodyDiv w:val="1"/>
      <w:marLeft w:val="0"/>
      <w:marRight w:val="0"/>
      <w:marTop w:val="0"/>
      <w:marBottom w:val="0"/>
      <w:divBdr>
        <w:top w:val="none" w:sz="0" w:space="0" w:color="auto"/>
        <w:left w:val="none" w:sz="0" w:space="0" w:color="auto"/>
        <w:bottom w:val="none" w:sz="0" w:space="0" w:color="auto"/>
        <w:right w:val="none" w:sz="0" w:space="0" w:color="auto"/>
      </w:divBdr>
      <w:divsChild>
        <w:div w:id="2063362779">
          <w:marLeft w:val="0"/>
          <w:marRight w:val="0"/>
          <w:marTop w:val="0"/>
          <w:marBottom w:val="0"/>
          <w:divBdr>
            <w:top w:val="none" w:sz="0" w:space="0" w:color="auto"/>
            <w:left w:val="none" w:sz="0" w:space="0" w:color="auto"/>
            <w:bottom w:val="none" w:sz="0" w:space="0" w:color="auto"/>
            <w:right w:val="none" w:sz="0" w:space="0" w:color="auto"/>
          </w:divBdr>
        </w:div>
        <w:div w:id="85543940">
          <w:marLeft w:val="0"/>
          <w:marRight w:val="0"/>
          <w:marTop w:val="0"/>
          <w:marBottom w:val="0"/>
          <w:divBdr>
            <w:top w:val="none" w:sz="0" w:space="0" w:color="auto"/>
            <w:left w:val="none" w:sz="0" w:space="0" w:color="auto"/>
            <w:bottom w:val="none" w:sz="0" w:space="0" w:color="auto"/>
            <w:right w:val="none" w:sz="0" w:space="0" w:color="auto"/>
          </w:divBdr>
        </w:div>
      </w:divsChild>
    </w:div>
    <w:div w:id="1267038839">
      <w:bodyDiv w:val="1"/>
      <w:marLeft w:val="0"/>
      <w:marRight w:val="0"/>
      <w:marTop w:val="0"/>
      <w:marBottom w:val="0"/>
      <w:divBdr>
        <w:top w:val="none" w:sz="0" w:space="0" w:color="auto"/>
        <w:left w:val="none" w:sz="0" w:space="0" w:color="auto"/>
        <w:bottom w:val="none" w:sz="0" w:space="0" w:color="auto"/>
        <w:right w:val="none" w:sz="0" w:space="0" w:color="auto"/>
      </w:divBdr>
      <w:divsChild>
        <w:div w:id="432014208">
          <w:marLeft w:val="0"/>
          <w:marRight w:val="0"/>
          <w:marTop w:val="0"/>
          <w:marBottom w:val="0"/>
          <w:divBdr>
            <w:top w:val="none" w:sz="0" w:space="0" w:color="auto"/>
            <w:left w:val="none" w:sz="0" w:space="0" w:color="auto"/>
            <w:bottom w:val="none" w:sz="0" w:space="0" w:color="auto"/>
            <w:right w:val="none" w:sz="0" w:space="0" w:color="auto"/>
          </w:divBdr>
        </w:div>
        <w:div w:id="1623001277">
          <w:marLeft w:val="0"/>
          <w:marRight w:val="0"/>
          <w:marTop w:val="0"/>
          <w:marBottom w:val="0"/>
          <w:divBdr>
            <w:top w:val="none" w:sz="0" w:space="0" w:color="auto"/>
            <w:left w:val="none" w:sz="0" w:space="0" w:color="auto"/>
            <w:bottom w:val="none" w:sz="0" w:space="0" w:color="auto"/>
            <w:right w:val="none" w:sz="0" w:space="0" w:color="auto"/>
          </w:divBdr>
        </w:div>
      </w:divsChild>
    </w:div>
    <w:div w:id="1323007920">
      <w:bodyDiv w:val="1"/>
      <w:marLeft w:val="0"/>
      <w:marRight w:val="0"/>
      <w:marTop w:val="0"/>
      <w:marBottom w:val="0"/>
      <w:divBdr>
        <w:top w:val="none" w:sz="0" w:space="0" w:color="auto"/>
        <w:left w:val="none" w:sz="0" w:space="0" w:color="auto"/>
        <w:bottom w:val="none" w:sz="0" w:space="0" w:color="auto"/>
        <w:right w:val="none" w:sz="0" w:space="0" w:color="auto"/>
      </w:divBdr>
      <w:divsChild>
        <w:div w:id="183440601">
          <w:marLeft w:val="0"/>
          <w:marRight w:val="0"/>
          <w:marTop w:val="0"/>
          <w:marBottom w:val="0"/>
          <w:divBdr>
            <w:top w:val="none" w:sz="0" w:space="0" w:color="auto"/>
            <w:left w:val="none" w:sz="0" w:space="0" w:color="auto"/>
            <w:bottom w:val="none" w:sz="0" w:space="0" w:color="auto"/>
            <w:right w:val="none" w:sz="0" w:space="0" w:color="auto"/>
          </w:divBdr>
        </w:div>
        <w:div w:id="1719011002">
          <w:marLeft w:val="0"/>
          <w:marRight w:val="0"/>
          <w:marTop w:val="0"/>
          <w:marBottom w:val="0"/>
          <w:divBdr>
            <w:top w:val="none" w:sz="0" w:space="0" w:color="auto"/>
            <w:left w:val="none" w:sz="0" w:space="0" w:color="auto"/>
            <w:bottom w:val="none" w:sz="0" w:space="0" w:color="auto"/>
            <w:right w:val="none" w:sz="0" w:space="0" w:color="auto"/>
          </w:divBdr>
        </w:div>
        <w:div w:id="102313001">
          <w:marLeft w:val="0"/>
          <w:marRight w:val="0"/>
          <w:marTop w:val="0"/>
          <w:marBottom w:val="0"/>
          <w:divBdr>
            <w:top w:val="none" w:sz="0" w:space="0" w:color="auto"/>
            <w:left w:val="none" w:sz="0" w:space="0" w:color="auto"/>
            <w:bottom w:val="none" w:sz="0" w:space="0" w:color="auto"/>
            <w:right w:val="none" w:sz="0" w:space="0" w:color="auto"/>
          </w:divBdr>
        </w:div>
        <w:div w:id="901795421">
          <w:marLeft w:val="0"/>
          <w:marRight w:val="0"/>
          <w:marTop w:val="0"/>
          <w:marBottom w:val="0"/>
          <w:divBdr>
            <w:top w:val="none" w:sz="0" w:space="0" w:color="auto"/>
            <w:left w:val="none" w:sz="0" w:space="0" w:color="auto"/>
            <w:bottom w:val="none" w:sz="0" w:space="0" w:color="auto"/>
            <w:right w:val="none" w:sz="0" w:space="0" w:color="auto"/>
          </w:divBdr>
        </w:div>
        <w:div w:id="1808939234">
          <w:marLeft w:val="0"/>
          <w:marRight w:val="0"/>
          <w:marTop w:val="0"/>
          <w:marBottom w:val="0"/>
          <w:divBdr>
            <w:top w:val="none" w:sz="0" w:space="0" w:color="auto"/>
            <w:left w:val="none" w:sz="0" w:space="0" w:color="auto"/>
            <w:bottom w:val="none" w:sz="0" w:space="0" w:color="auto"/>
            <w:right w:val="none" w:sz="0" w:space="0" w:color="auto"/>
          </w:divBdr>
        </w:div>
      </w:divsChild>
    </w:div>
    <w:div w:id="1495222137">
      <w:bodyDiv w:val="1"/>
      <w:marLeft w:val="0"/>
      <w:marRight w:val="0"/>
      <w:marTop w:val="0"/>
      <w:marBottom w:val="0"/>
      <w:divBdr>
        <w:top w:val="none" w:sz="0" w:space="0" w:color="auto"/>
        <w:left w:val="none" w:sz="0" w:space="0" w:color="auto"/>
        <w:bottom w:val="none" w:sz="0" w:space="0" w:color="auto"/>
        <w:right w:val="none" w:sz="0" w:space="0" w:color="auto"/>
      </w:divBdr>
      <w:divsChild>
        <w:div w:id="633489871">
          <w:marLeft w:val="0"/>
          <w:marRight w:val="0"/>
          <w:marTop w:val="0"/>
          <w:marBottom w:val="0"/>
          <w:divBdr>
            <w:top w:val="none" w:sz="0" w:space="0" w:color="auto"/>
            <w:left w:val="none" w:sz="0" w:space="0" w:color="auto"/>
            <w:bottom w:val="none" w:sz="0" w:space="0" w:color="auto"/>
            <w:right w:val="none" w:sz="0" w:space="0" w:color="auto"/>
          </w:divBdr>
        </w:div>
        <w:div w:id="813449193">
          <w:marLeft w:val="0"/>
          <w:marRight w:val="0"/>
          <w:marTop w:val="0"/>
          <w:marBottom w:val="0"/>
          <w:divBdr>
            <w:top w:val="none" w:sz="0" w:space="0" w:color="auto"/>
            <w:left w:val="none" w:sz="0" w:space="0" w:color="auto"/>
            <w:bottom w:val="none" w:sz="0" w:space="0" w:color="auto"/>
            <w:right w:val="none" w:sz="0" w:space="0" w:color="auto"/>
          </w:divBdr>
        </w:div>
      </w:divsChild>
    </w:div>
    <w:div w:id="1499031753">
      <w:bodyDiv w:val="1"/>
      <w:marLeft w:val="0"/>
      <w:marRight w:val="0"/>
      <w:marTop w:val="0"/>
      <w:marBottom w:val="0"/>
      <w:divBdr>
        <w:top w:val="none" w:sz="0" w:space="0" w:color="auto"/>
        <w:left w:val="none" w:sz="0" w:space="0" w:color="auto"/>
        <w:bottom w:val="none" w:sz="0" w:space="0" w:color="auto"/>
        <w:right w:val="none" w:sz="0" w:space="0" w:color="auto"/>
      </w:divBdr>
    </w:div>
    <w:div w:id="1594822711">
      <w:bodyDiv w:val="1"/>
      <w:marLeft w:val="0"/>
      <w:marRight w:val="0"/>
      <w:marTop w:val="0"/>
      <w:marBottom w:val="0"/>
      <w:divBdr>
        <w:top w:val="none" w:sz="0" w:space="0" w:color="auto"/>
        <w:left w:val="none" w:sz="0" w:space="0" w:color="auto"/>
        <w:bottom w:val="none" w:sz="0" w:space="0" w:color="auto"/>
        <w:right w:val="none" w:sz="0" w:space="0" w:color="auto"/>
      </w:divBdr>
    </w:div>
    <w:div w:id="1599604623">
      <w:bodyDiv w:val="1"/>
      <w:marLeft w:val="0"/>
      <w:marRight w:val="0"/>
      <w:marTop w:val="0"/>
      <w:marBottom w:val="0"/>
      <w:divBdr>
        <w:top w:val="none" w:sz="0" w:space="0" w:color="auto"/>
        <w:left w:val="none" w:sz="0" w:space="0" w:color="auto"/>
        <w:bottom w:val="none" w:sz="0" w:space="0" w:color="auto"/>
        <w:right w:val="none" w:sz="0" w:space="0" w:color="auto"/>
      </w:divBdr>
    </w:div>
    <w:div w:id="1661078423">
      <w:bodyDiv w:val="1"/>
      <w:marLeft w:val="0"/>
      <w:marRight w:val="0"/>
      <w:marTop w:val="0"/>
      <w:marBottom w:val="0"/>
      <w:divBdr>
        <w:top w:val="none" w:sz="0" w:space="0" w:color="auto"/>
        <w:left w:val="none" w:sz="0" w:space="0" w:color="auto"/>
        <w:bottom w:val="none" w:sz="0" w:space="0" w:color="auto"/>
        <w:right w:val="none" w:sz="0" w:space="0" w:color="auto"/>
      </w:divBdr>
      <w:divsChild>
        <w:div w:id="1831215789">
          <w:marLeft w:val="0"/>
          <w:marRight w:val="0"/>
          <w:marTop w:val="0"/>
          <w:marBottom w:val="0"/>
          <w:divBdr>
            <w:top w:val="none" w:sz="0" w:space="0" w:color="auto"/>
            <w:left w:val="none" w:sz="0" w:space="0" w:color="auto"/>
            <w:bottom w:val="none" w:sz="0" w:space="0" w:color="auto"/>
            <w:right w:val="none" w:sz="0" w:space="0" w:color="auto"/>
          </w:divBdr>
        </w:div>
        <w:div w:id="1367217198">
          <w:marLeft w:val="0"/>
          <w:marRight w:val="0"/>
          <w:marTop w:val="0"/>
          <w:marBottom w:val="0"/>
          <w:divBdr>
            <w:top w:val="none" w:sz="0" w:space="0" w:color="auto"/>
            <w:left w:val="none" w:sz="0" w:space="0" w:color="auto"/>
            <w:bottom w:val="none" w:sz="0" w:space="0" w:color="auto"/>
            <w:right w:val="none" w:sz="0" w:space="0" w:color="auto"/>
          </w:divBdr>
        </w:div>
        <w:div w:id="1064455079">
          <w:marLeft w:val="0"/>
          <w:marRight w:val="0"/>
          <w:marTop w:val="0"/>
          <w:marBottom w:val="0"/>
          <w:divBdr>
            <w:top w:val="none" w:sz="0" w:space="0" w:color="auto"/>
            <w:left w:val="none" w:sz="0" w:space="0" w:color="auto"/>
            <w:bottom w:val="none" w:sz="0" w:space="0" w:color="auto"/>
            <w:right w:val="none" w:sz="0" w:space="0" w:color="auto"/>
          </w:divBdr>
        </w:div>
      </w:divsChild>
    </w:div>
    <w:div w:id="1688211498">
      <w:bodyDiv w:val="1"/>
      <w:marLeft w:val="0"/>
      <w:marRight w:val="0"/>
      <w:marTop w:val="0"/>
      <w:marBottom w:val="0"/>
      <w:divBdr>
        <w:top w:val="none" w:sz="0" w:space="0" w:color="auto"/>
        <w:left w:val="none" w:sz="0" w:space="0" w:color="auto"/>
        <w:bottom w:val="none" w:sz="0" w:space="0" w:color="auto"/>
        <w:right w:val="none" w:sz="0" w:space="0" w:color="auto"/>
      </w:divBdr>
      <w:divsChild>
        <w:div w:id="899367831">
          <w:marLeft w:val="0"/>
          <w:marRight w:val="0"/>
          <w:marTop w:val="0"/>
          <w:marBottom w:val="0"/>
          <w:divBdr>
            <w:top w:val="none" w:sz="0" w:space="0" w:color="auto"/>
            <w:left w:val="none" w:sz="0" w:space="0" w:color="auto"/>
            <w:bottom w:val="none" w:sz="0" w:space="0" w:color="auto"/>
            <w:right w:val="none" w:sz="0" w:space="0" w:color="auto"/>
          </w:divBdr>
        </w:div>
        <w:div w:id="439105456">
          <w:marLeft w:val="0"/>
          <w:marRight w:val="0"/>
          <w:marTop w:val="0"/>
          <w:marBottom w:val="0"/>
          <w:divBdr>
            <w:top w:val="none" w:sz="0" w:space="0" w:color="auto"/>
            <w:left w:val="none" w:sz="0" w:space="0" w:color="auto"/>
            <w:bottom w:val="none" w:sz="0" w:space="0" w:color="auto"/>
            <w:right w:val="none" w:sz="0" w:space="0" w:color="auto"/>
          </w:divBdr>
        </w:div>
      </w:divsChild>
    </w:div>
    <w:div w:id="1698896396">
      <w:bodyDiv w:val="1"/>
      <w:marLeft w:val="0"/>
      <w:marRight w:val="0"/>
      <w:marTop w:val="0"/>
      <w:marBottom w:val="0"/>
      <w:divBdr>
        <w:top w:val="none" w:sz="0" w:space="0" w:color="auto"/>
        <w:left w:val="none" w:sz="0" w:space="0" w:color="auto"/>
        <w:bottom w:val="none" w:sz="0" w:space="0" w:color="auto"/>
        <w:right w:val="none" w:sz="0" w:space="0" w:color="auto"/>
      </w:divBdr>
      <w:divsChild>
        <w:div w:id="604655274">
          <w:marLeft w:val="0"/>
          <w:marRight w:val="0"/>
          <w:marTop w:val="0"/>
          <w:marBottom w:val="0"/>
          <w:divBdr>
            <w:top w:val="none" w:sz="0" w:space="0" w:color="auto"/>
            <w:left w:val="none" w:sz="0" w:space="0" w:color="auto"/>
            <w:bottom w:val="none" w:sz="0" w:space="0" w:color="auto"/>
            <w:right w:val="none" w:sz="0" w:space="0" w:color="auto"/>
          </w:divBdr>
        </w:div>
      </w:divsChild>
    </w:div>
    <w:div w:id="1725056998">
      <w:bodyDiv w:val="1"/>
      <w:marLeft w:val="0"/>
      <w:marRight w:val="0"/>
      <w:marTop w:val="0"/>
      <w:marBottom w:val="0"/>
      <w:divBdr>
        <w:top w:val="none" w:sz="0" w:space="0" w:color="auto"/>
        <w:left w:val="none" w:sz="0" w:space="0" w:color="auto"/>
        <w:bottom w:val="none" w:sz="0" w:space="0" w:color="auto"/>
        <w:right w:val="none" w:sz="0" w:space="0" w:color="auto"/>
      </w:divBdr>
      <w:divsChild>
        <w:div w:id="376122379">
          <w:marLeft w:val="0"/>
          <w:marRight w:val="0"/>
          <w:marTop w:val="0"/>
          <w:marBottom w:val="0"/>
          <w:divBdr>
            <w:top w:val="none" w:sz="0" w:space="0" w:color="auto"/>
            <w:left w:val="none" w:sz="0" w:space="0" w:color="auto"/>
            <w:bottom w:val="none" w:sz="0" w:space="0" w:color="auto"/>
            <w:right w:val="none" w:sz="0" w:space="0" w:color="auto"/>
          </w:divBdr>
        </w:div>
        <w:div w:id="1159073279">
          <w:marLeft w:val="0"/>
          <w:marRight w:val="0"/>
          <w:marTop w:val="0"/>
          <w:marBottom w:val="0"/>
          <w:divBdr>
            <w:top w:val="none" w:sz="0" w:space="0" w:color="auto"/>
            <w:left w:val="none" w:sz="0" w:space="0" w:color="auto"/>
            <w:bottom w:val="none" w:sz="0" w:space="0" w:color="auto"/>
            <w:right w:val="none" w:sz="0" w:space="0" w:color="auto"/>
          </w:divBdr>
        </w:div>
        <w:div w:id="196550008">
          <w:marLeft w:val="0"/>
          <w:marRight w:val="0"/>
          <w:marTop w:val="0"/>
          <w:marBottom w:val="0"/>
          <w:divBdr>
            <w:top w:val="none" w:sz="0" w:space="0" w:color="auto"/>
            <w:left w:val="none" w:sz="0" w:space="0" w:color="auto"/>
            <w:bottom w:val="none" w:sz="0" w:space="0" w:color="auto"/>
            <w:right w:val="none" w:sz="0" w:space="0" w:color="auto"/>
          </w:divBdr>
        </w:div>
        <w:div w:id="462771762">
          <w:marLeft w:val="0"/>
          <w:marRight w:val="0"/>
          <w:marTop w:val="0"/>
          <w:marBottom w:val="0"/>
          <w:divBdr>
            <w:top w:val="none" w:sz="0" w:space="0" w:color="auto"/>
            <w:left w:val="none" w:sz="0" w:space="0" w:color="auto"/>
            <w:bottom w:val="none" w:sz="0" w:space="0" w:color="auto"/>
            <w:right w:val="none" w:sz="0" w:space="0" w:color="auto"/>
          </w:divBdr>
        </w:div>
        <w:div w:id="1828328559">
          <w:marLeft w:val="0"/>
          <w:marRight w:val="0"/>
          <w:marTop w:val="0"/>
          <w:marBottom w:val="0"/>
          <w:divBdr>
            <w:top w:val="none" w:sz="0" w:space="0" w:color="auto"/>
            <w:left w:val="none" w:sz="0" w:space="0" w:color="auto"/>
            <w:bottom w:val="none" w:sz="0" w:space="0" w:color="auto"/>
            <w:right w:val="none" w:sz="0" w:space="0" w:color="auto"/>
          </w:divBdr>
        </w:div>
        <w:div w:id="1957055656">
          <w:marLeft w:val="0"/>
          <w:marRight w:val="0"/>
          <w:marTop w:val="0"/>
          <w:marBottom w:val="0"/>
          <w:divBdr>
            <w:top w:val="none" w:sz="0" w:space="0" w:color="auto"/>
            <w:left w:val="none" w:sz="0" w:space="0" w:color="auto"/>
            <w:bottom w:val="none" w:sz="0" w:space="0" w:color="auto"/>
            <w:right w:val="none" w:sz="0" w:space="0" w:color="auto"/>
          </w:divBdr>
        </w:div>
        <w:div w:id="1915510696">
          <w:marLeft w:val="0"/>
          <w:marRight w:val="0"/>
          <w:marTop w:val="0"/>
          <w:marBottom w:val="0"/>
          <w:divBdr>
            <w:top w:val="none" w:sz="0" w:space="0" w:color="auto"/>
            <w:left w:val="none" w:sz="0" w:space="0" w:color="auto"/>
            <w:bottom w:val="none" w:sz="0" w:space="0" w:color="auto"/>
            <w:right w:val="none" w:sz="0" w:space="0" w:color="auto"/>
          </w:divBdr>
        </w:div>
        <w:div w:id="1227691761">
          <w:marLeft w:val="0"/>
          <w:marRight w:val="0"/>
          <w:marTop w:val="0"/>
          <w:marBottom w:val="0"/>
          <w:divBdr>
            <w:top w:val="none" w:sz="0" w:space="0" w:color="auto"/>
            <w:left w:val="none" w:sz="0" w:space="0" w:color="auto"/>
            <w:bottom w:val="none" w:sz="0" w:space="0" w:color="auto"/>
            <w:right w:val="none" w:sz="0" w:space="0" w:color="auto"/>
          </w:divBdr>
        </w:div>
        <w:div w:id="822508675">
          <w:marLeft w:val="0"/>
          <w:marRight w:val="0"/>
          <w:marTop w:val="0"/>
          <w:marBottom w:val="0"/>
          <w:divBdr>
            <w:top w:val="none" w:sz="0" w:space="0" w:color="auto"/>
            <w:left w:val="none" w:sz="0" w:space="0" w:color="auto"/>
            <w:bottom w:val="none" w:sz="0" w:space="0" w:color="auto"/>
            <w:right w:val="none" w:sz="0" w:space="0" w:color="auto"/>
          </w:divBdr>
        </w:div>
        <w:div w:id="1541700700">
          <w:marLeft w:val="0"/>
          <w:marRight w:val="0"/>
          <w:marTop w:val="0"/>
          <w:marBottom w:val="0"/>
          <w:divBdr>
            <w:top w:val="none" w:sz="0" w:space="0" w:color="auto"/>
            <w:left w:val="none" w:sz="0" w:space="0" w:color="auto"/>
            <w:bottom w:val="none" w:sz="0" w:space="0" w:color="auto"/>
            <w:right w:val="none" w:sz="0" w:space="0" w:color="auto"/>
          </w:divBdr>
        </w:div>
        <w:div w:id="1971858798">
          <w:marLeft w:val="0"/>
          <w:marRight w:val="0"/>
          <w:marTop w:val="0"/>
          <w:marBottom w:val="0"/>
          <w:divBdr>
            <w:top w:val="none" w:sz="0" w:space="0" w:color="auto"/>
            <w:left w:val="none" w:sz="0" w:space="0" w:color="auto"/>
            <w:bottom w:val="none" w:sz="0" w:space="0" w:color="auto"/>
            <w:right w:val="none" w:sz="0" w:space="0" w:color="auto"/>
          </w:divBdr>
        </w:div>
        <w:div w:id="1503475516">
          <w:marLeft w:val="0"/>
          <w:marRight w:val="0"/>
          <w:marTop w:val="0"/>
          <w:marBottom w:val="0"/>
          <w:divBdr>
            <w:top w:val="none" w:sz="0" w:space="0" w:color="auto"/>
            <w:left w:val="none" w:sz="0" w:space="0" w:color="auto"/>
            <w:bottom w:val="none" w:sz="0" w:space="0" w:color="auto"/>
            <w:right w:val="none" w:sz="0" w:space="0" w:color="auto"/>
          </w:divBdr>
        </w:div>
        <w:div w:id="386993577">
          <w:marLeft w:val="0"/>
          <w:marRight w:val="0"/>
          <w:marTop w:val="0"/>
          <w:marBottom w:val="0"/>
          <w:divBdr>
            <w:top w:val="none" w:sz="0" w:space="0" w:color="auto"/>
            <w:left w:val="none" w:sz="0" w:space="0" w:color="auto"/>
            <w:bottom w:val="none" w:sz="0" w:space="0" w:color="auto"/>
            <w:right w:val="none" w:sz="0" w:space="0" w:color="auto"/>
          </w:divBdr>
        </w:div>
        <w:div w:id="100809801">
          <w:marLeft w:val="0"/>
          <w:marRight w:val="0"/>
          <w:marTop w:val="0"/>
          <w:marBottom w:val="0"/>
          <w:divBdr>
            <w:top w:val="none" w:sz="0" w:space="0" w:color="auto"/>
            <w:left w:val="none" w:sz="0" w:space="0" w:color="auto"/>
            <w:bottom w:val="none" w:sz="0" w:space="0" w:color="auto"/>
            <w:right w:val="none" w:sz="0" w:space="0" w:color="auto"/>
          </w:divBdr>
        </w:div>
        <w:div w:id="1726685459">
          <w:marLeft w:val="0"/>
          <w:marRight w:val="0"/>
          <w:marTop w:val="0"/>
          <w:marBottom w:val="0"/>
          <w:divBdr>
            <w:top w:val="none" w:sz="0" w:space="0" w:color="auto"/>
            <w:left w:val="none" w:sz="0" w:space="0" w:color="auto"/>
            <w:bottom w:val="none" w:sz="0" w:space="0" w:color="auto"/>
            <w:right w:val="none" w:sz="0" w:space="0" w:color="auto"/>
          </w:divBdr>
        </w:div>
        <w:div w:id="1906909720">
          <w:marLeft w:val="0"/>
          <w:marRight w:val="0"/>
          <w:marTop w:val="0"/>
          <w:marBottom w:val="0"/>
          <w:divBdr>
            <w:top w:val="none" w:sz="0" w:space="0" w:color="auto"/>
            <w:left w:val="none" w:sz="0" w:space="0" w:color="auto"/>
            <w:bottom w:val="none" w:sz="0" w:space="0" w:color="auto"/>
            <w:right w:val="none" w:sz="0" w:space="0" w:color="auto"/>
          </w:divBdr>
        </w:div>
        <w:div w:id="210967791">
          <w:marLeft w:val="0"/>
          <w:marRight w:val="0"/>
          <w:marTop w:val="0"/>
          <w:marBottom w:val="0"/>
          <w:divBdr>
            <w:top w:val="none" w:sz="0" w:space="0" w:color="auto"/>
            <w:left w:val="none" w:sz="0" w:space="0" w:color="auto"/>
            <w:bottom w:val="none" w:sz="0" w:space="0" w:color="auto"/>
            <w:right w:val="none" w:sz="0" w:space="0" w:color="auto"/>
          </w:divBdr>
        </w:div>
        <w:div w:id="11955752">
          <w:marLeft w:val="0"/>
          <w:marRight w:val="0"/>
          <w:marTop w:val="0"/>
          <w:marBottom w:val="0"/>
          <w:divBdr>
            <w:top w:val="none" w:sz="0" w:space="0" w:color="auto"/>
            <w:left w:val="none" w:sz="0" w:space="0" w:color="auto"/>
            <w:bottom w:val="none" w:sz="0" w:space="0" w:color="auto"/>
            <w:right w:val="none" w:sz="0" w:space="0" w:color="auto"/>
          </w:divBdr>
        </w:div>
        <w:div w:id="216859081">
          <w:marLeft w:val="0"/>
          <w:marRight w:val="0"/>
          <w:marTop w:val="0"/>
          <w:marBottom w:val="0"/>
          <w:divBdr>
            <w:top w:val="none" w:sz="0" w:space="0" w:color="auto"/>
            <w:left w:val="none" w:sz="0" w:space="0" w:color="auto"/>
            <w:bottom w:val="none" w:sz="0" w:space="0" w:color="auto"/>
            <w:right w:val="none" w:sz="0" w:space="0" w:color="auto"/>
          </w:divBdr>
        </w:div>
        <w:div w:id="88743338">
          <w:marLeft w:val="0"/>
          <w:marRight w:val="0"/>
          <w:marTop w:val="0"/>
          <w:marBottom w:val="0"/>
          <w:divBdr>
            <w:top w:val="none" w:sz="0" w:space="0" w:color="auto"/>
            <w:left w:val="none" w:sz="0" w:space="0" w:color="auto"/>
            <w:bottom w:val="none" w:sz="0" w:space="0" w:color="auto"/>
            <w:right w:val="none" w:sz="0" w:space="0" w:color="auto"/>
          </w:divBdr>
        </w:div>
        <w:div w:id="188573330">
          <w:marLeft w:val="0"/>
          <w:marRight w:val="0"/>
          <w:marTop w:val="0"/>
          <w:marBottom w:val="0"/>
          <w:divBdr>
            <w:top w:val="none" w:sz="0" w:space="0" w:color="auto"/>
            <w:left w:val="none" w:sz="0" w:space="0" w:color="auto"/>
            <w:bottom w:val="none" w:sz="0" w:space="0" w:color="auto"/>
            <w:right w:val="none" w:sz="0" w:space="0" w:color="auto"/>
          </w:divBdr>
        </w:div>
        <w:div w:id="535702862">
          <w:marLeft w:val="0"/>
          <w:marRight w:val="0"/>
          <w:marTop w:val="0"/>
          <w:marBottom w:val="0"/>
          <w:divBdr>
            <w:top w:val="none" w:sz="0" w:space="0" w:color="auto"/>
            <w:left w:val="none" w:sz="0" w:space="0" w:color="auto"/>
            <w:bottom w:val="none" w:sz="0" w:space="0" w:color="auto"/>
            <w:right w:val="none" w:sz="0" w:space="0" w:color="auto"/>
          </w:divBdr>
        </w:div>
        <w:div w:id="356346508">
          <w:marLeft w:val="0"/>
          <w:marRight w:val="0"/>
          <w:marTop w:val="0"/>
          <w:marBottom w:val="0"/>
          <w:divBdr>
            <w:top w:val="none" w:sz="0" w:space="0" w:color="auto"/>
            <w:left w:val="none" w:sz="0" w:space="0" w:color="auto"/>
            <w:bottom w:val="none" w:sz="0" w:space="0" w:color="auto"/>
            <w:right w:val="none" w:sz="0" w:space="0" w:color="auto"/>
          </w:divBdr>
        </w:div>
        <w:div w:id="920872989">
          <w:marLeft w:val="0"/>
          <w:marRight w:val="0"/>
          <w:marTop w:val="0"/>
          <w:marBottom w:val="0"/>
          <w:divBdr>
            <w:top w:val="none" w:sz="0" w:space="0" w:color="auto"/>
            <w:left w:val="none" w:sz="0" w:space="0" w:color="auto"/>
            <w:bottom w:val="none" w:sz="0" w:space="0" w:color="auto"/>
            <w:right w:val="none" w:sz="0" w:space="0" w:color="auto"/>
          </w:divBdr>
        </w:div>
        <w:div w:id="1355810977">
          <w:marLeft w:val="0"/>
          <w:marRight w:val="0"/>
          <w:marTop w:val="0"/>
          <w:marBottom w:val="0"/>
          <w:divBdr>
            <w:top w:val="none" w:sz="0" w:space="0" w:color="auto"/>
            <w:left w:val="none" w:sz="0" w:space="0" w:color="auto"/>
            <w:bottom w:val="none" w:sz="0" w:space="0" w:color="auto"/>
            <w:right w:val="none" w:sz="0" w:space="0" w:color="auto"/>
          </w:divBdr>
        </w:div>
        <w:div w:id="630987954">
          <w:marLeft w:val="0"/>
          <w:marRight w:val="0"/>
          <w:marTop w:val="0"/>
          <w:marBottom w:val="0"/>
          <w:divBdr>
            <w:top w:val="none" w:sz="0" w:space="0" w:color="auto"/>
            <w:left w:val="none" w:sz="0" w:space="0" w:color="auto"/>
            <w:bottom w:val="none" w:sz="0" w:space="0" w:color="auto"/>
            <w:right w:val="none" w:sz="0" w:space="0" w:color="auto"/>
          </w:divBdr>
        </w:div>
        <w:div w:id="2055230586">
          <w:marLeft w:val="0"/>
          <w:marRight w:val="0"/>
          <w:marTop w:val="0"/>
          <w:marBottom w:val="0"/>
          <w:divBdr>
            <w:top w:val="none" w:sz="0" w:space="0" w:color="auto"/>
            <w:left w:val="none" w:sz="0" w:space="0" w:color="auto"/>
            <w:bottom w:val="none" w:sz="0" w:space="0" w:color="auto"/>
            <w:right w:val="none" w:sz="0" w:space="0" w:color="auto"/>
          </w:divBdr>
        </w:div>
        <w:div w:id="1893730251">
          <w:marLeft w:val="0"/>
          <w:marRight w:val="0"/>
          <w:marTop w:val="0"/>
          <w:marBottom w:val="0"/>
          <w:divBdr>
            <w:top w:val="none" w:sz="0" w:space="0" w:color="auto"/>
            <w:left w:val="none" w:sz="0" w:space="0" w:color="auto"/>
            <w:bottom w:val="none" w:sz="0" w:space="0" w:color="auto"/>
            <w:right w:val="none" w:sz="0" w:space="0" w:color="auto"/>
          </w:divBdr>
        </w:div>
        <w:div w:id="2005279032">
          <w:marLeft w:val="0"/>
          <w:marRight w:val="0"/>
          <w:marTop w:val="0"/>
          <w:marBottom w:val="0"/>
          <w:divBdr>
            <w:top w:val="none" w:sz="0" w:space="0" w:color="auto"/>
            <w:left w:val="none" w:sz="0" w:space="0" w:color="auto"/>
            <w:bottom w:val="none" w:sz="0" w:space="0" w:color="auto"/>
            <w:right w:val="none" w:sz="0" w:space="0" w:color="auto"/>
          </w:divBdr>
        </w:div>
        <w:div w:id="1897663879">
          <w:marLeft w:val="0"/>
          <w:marRight w:val="0"/>
          <w:marTop w:val="0"/>
          <w:marBottom w:val="0"/>
          <w:divBdr>
            <w:top w:val="none" w:sz="0" w:space="0" w:color="auto"/>
            <w:left w:val="none" w:sz="0" w:space="0" w:color="auto"/>
            <w:bottom w:val="none" w:sz="0" w:space="0" w:color="auto"/>
            <w:right w:val="none" w:sz="0" w:space="0" w:color="auto"/>
          </w:divBdr>
        </w:div>
        <w:div w:id="63454936">
          <w:marLeft w:val="0"/>
          <w:marRight w:val="0"/>
          <w:marTop w:val="0"/>
          <w:marBottom w:val="0"/>
          <w:divBdr>
            <w:top w:val="none" w:sz="0" w:space="0" w:color="auto"/>
            <w:left w:val="none" w:sz="0" w:space="0" w:color="auto"/>
            <w:bottom w:val="none" w:sz="0" w:space="0" w:color="auto"/>
            <w:right w:val="none" w:sz="0" w:space="0" w:color="auto"/>
          </w:divBdr>
        </w:div>
        <w:div w:id="1939411831">
          <w:marLeft w:val="0"/>
          <w:marRight w:val="0"/>
          <w:marTop w:val="0"/>
          <w:marBottom w:val="0"/>
          <w:divBdr>
            <w:top w:val="none" w:sz="0" w:space="0" w:color="auto"/>
            <w:left w:val="none" w:sz="0" w:space="0" w:color="auto"/>
            <w:bottom w:val="none" w:sz="0" w:space="0" w:color="auto"/>
            <w:right w:val="none" w:sz="0" w:space="0" w:color="auto"/>
          </w:divBdr>
        </w:div>
        <w:div w:id="1173883453">
          <w:marLeft w:val="0"/>
          <w:marRight w:val="0"/>
          <w:marTop w:val="0"/>
          <w:marBottom w:val="0"/>
          <w:divBdr>
            <w:top w:val="none" w:sz="0" w:space="0" w:color="auto"/>
            <w:left w:val="none" w:sz="0" w:space="0" w:color="auto"/>
            <w:bottom w:val="none" w:sz="0" w:space="0" w:color="auto"/>
            <w:right w:val="none" w:sz="0" w:space="0" w:color="auto"/>
          </w:divBdr>
        </w:div>
        <w:div w:id="1553887413">
          <w:marLeft w:val="0"/>
          <w:marRight w:val="0"/>
          <w:marTop w:val="0"/>
          <w:marBottom w:val="0"/>
          <w:divBdr>
            <w:top w:val="none" w:sz="0" w:space="0" w:color="auto"/>
            <w:left w:val="none" w:sz="0" w:space="0" w:color="auto"/>
            <w:bottom w:val="none" w:sz="0" w:space="0" w:color="auto"/>
            <w:right w:val="none" w:sz="0" w:space="0" w:color="auto"/>
          </w:divBdr>
        </w:div>
        <w:div w:id="2063626889">
          <w:marLeft w:val="0"/>
          <w:marRight w:val="0"/>
          <w:marTop w:val="0"/>
          <w:marBottom w:val="0"/>
          <w:divBdr>
            <w:top w:val="none" w:sz="0" w:space="0" w:color="auto"/>
            <w:left w:val="none" w:sz="0" w:space="0" w:color="auto"/>
            <w:bottom w:val="none" w:sz="0" w:space="0" w:color="auto"/>
            <w:right w:val="none" w:sz="0" w:space="0" w:color="auto"/>
          </w:divBdr>
        </w:div>
        <w:div w:id="417871894">
          <w:marLeft w:val="0"/>
          <w:marRight w:val="0"/>
          <w:marTop w:val="0"/>
          <w:marBottom w:val="0"/>
          <w:divBdr>
            <w:top w:val="none" w:sz="0" w:space="0" w:color="auto"/>
            <w:left w:val="none" w:sz="0" w:space="0" w:color="auto"/>
            <w:bottom w:val="none" w:sz="0" w:space="0" w:color="auto"/>
            <w:right w:val="none" w:sz="0" w:space="0" w:color="auto"/>
          </w:divBdr>
        </w:div>
        <w:div w:id="1321469770">
          <w:marLeft w:val="0"/>
          <w:marRight w:val="0"/>
          <w:marTop w:val="0"/>
          <w:marBottom w:val="0"/>
          <w:divBdr>
            <w:top w:val="none" w:sz="0" w:space="0" w:color="auto"/>
            <w:left w:val="none" w:sz="0" w:space="0" w:color="auto"/>
            <w:bottom w:val="none" w:sz="0" w:space="0" w:color="auto"/>
            <w:right w:val="none" w:sz="0" w:space="0" w:color="auto"/>
          </w:divBdr>
        </w:div>
        <w:div w:id="784613786">
          <w:marLeft w:val="0"/>
          <w:marRight w:val="0"/>
          <w:marTop w:val="0"/>
          <w:marBottom w:val="0"/>
          <w:divBdr>
            <w:top w:val="none" w:sz="0" w:space="0" w:color="auto"/>
            <w:left w:val="none" w:sz="0" w:space="0" w:color="auto"/>
            <w:bottom w:val="none" w:sz="0" w:space="0" w:color="auto"/>
            <w:right w:val="none" w:sz="0" w:space="0" w:color="auto"/>
          </w:divBdr>
        </w:div>
        <w:div w:id="1527447950">
          <w:marLeft w:val="0"/>
          <w:marRight w:val="0"/>
          <w:marTop w:val="0"/>
          <w:marBottom w:val="0"/>
          <w:divBdr>
            <w:top w:val="none" w:sz="0" w:space="0" w:color="auto"/>
            <w:left w:val="none" w:sz="0" w:space="0" w:color="auto"/>
            <w:bottom w:val="none" w:sz="0" w:space="0" w:color="auto"/>
            <w:right w:val="none" w:sz="0" w:space="0" w:color="auto"/>
          </w:divBdr>
        </w:div>
        <w:div w:id="1052534234">
          <w:marLeft w:val="0"/>
          <w:marRight w:val="0"/>
          <w:marTop w:val="0"/>
          <w:marBottom w:val="0"/>
          <w:divBdr>
            <w:top w:val="none" w:sz="0" w:space="0" w:color="auto"/>
            <w:left w:val="none" w:sz="0" w:space="0" w:color="auto"/>
            <w:bottom w:val="none" w:sz="0" w:space="0" w:color="auto"/>
            <w:right w:val="none" w:sz="0" w:space="0" w:color="auto"/>
          </w:divBdr>
        </w:div>
        <w:div w:id="2058698739">
          <w:marLeft w:val="0"/>
          <w:marRight w:val="0"/>
          <w:marTop w:val="0"/>
          <w:marBottom w:val="0"/>
          <w:divBdr>
            <w:top w:val="none" w:sz="0" w:space="0" w:color="auto"/>
            <w:left w:val="none" w:sz="0" w:space="0" w:color="auto"/>
            <w:bottom w:val="none" w:sz="0" w:space="0" w:color="auto"/>
            <w:right w:val="none" w:sz="0" w:space="0" w:color="auto"/>
          </w:divBdr>
        </w:div>
        <w:div w:id="1480030117">
          <w:marLeft w:val="0"/>
          <w:marRight w:val="0"/>
          <w:marTop w:val="0"/>
          <w:marBottom w:val="0"/>
          <w:divBdr>
            <w:top w:val="none" w:sz="0" w:space="0" w:color="auto"/>
            <w:left w:val="none" w:sz="0" w:space="0" w:color="auto"/>
            <w:bottom w:val="none" w:sz="0" w:space="0" w:color="auto"/>
            <w:right w:val="none" w:sz="0" w:space="0" w:color="auto"/>
          </w:divBdr>
        </w:div>
        <w:div w:id="658461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mc/articles/PMC4556902/" TargetMode="External"/><Relationship Id="rId117" Type="http://schemas.openxmlformats.org/officeDocument/2006/relationships/hyperlink" Target="https://www.ncbi.nlm.nih.gov/pmc/articles/PMC3090168/" TargetMode="External"/><Relationship Id="rId21" Type="http://schemas.openxmlformats.org/officeDocument/2006/relationships/hyperlink" Target="https://www.ncbi.nlm.nih.gov/pmc/articles/PMC3160563/" TargetMode="External"/><Relationship Id="rId42" Type="http://schemas.openxmlformats.org/officeDocument/2006/relationships/hyperlink" Target="https://www.ncbi.nlm.nih.gov/pmc/articles/PMC4556902/" TargetMode="External"/><Relationship Id="rId47" Type="http://schemas.openxmlformats.org/officeDocument/2006/relationships/hyperlink" Target="https://www.ncbi.nlm.nih.gov/pmc/articles/PMC4556902/" TargetMode="External"/><Relationship Id="rId63" Type="http://schemas.openxmlformats.org/officeDocument/2006/relationships/hyperlink" Target="https://www.sciencedirect.com/topics/medicine-and-dentistry/saturated-fatty-acid" TargetMode="External"/><Relationship Id="rId68" Type="http://schemas.openxmlformats.org/officeDocument/2006/relationships/hyperlink" Target="https://www.sciencedirect.com/topics/biochemistry-genetics-and-molecular-biology/lipid-storage" TargetMode="External"/><Relationship Id="rId84" Type="http://schemas.openxmlformats.org/officeDocument/2006/relationships/hyperlink" Target="https://www.sciencedirect.com/topics/medicine-and-dentistry/glitazone-derivative" TargetMode="External"/><Relationship Id="rId89" Type="http://schemas.openxmlformats.org/officeDocument/2006/relationships/hyperlink" Target="https://www.ncbi.nlm.nih.gov/pmc/articles/PMC3160563/" TargetMode="External"/><Relationship Id="rId112" Type="http://schemas.openxmlformats.org/officeDocument/2006/relationships/hyperlink" Target="https://www.ncbi.nlm.nih.gov/pubmed/22332062" TargetMode="External"/><Relationship Id="rId133" Type="http://schemas.openxmlformats.org/officeDocument/2006/relationships/theme" Target="theme/theme1.xml"/><Relationship Id="rId16" Type="http://schemas.openxmlformats.org/officeDocument/2006/relationships/hyperlink" Target="https://www.sciencedirect.com/science/article/pii/S0955286315002259" TargetMode="External"/><Relationship Id="rId107" Type="http://schemas.openxmlformats.org/officeDocument/2006/relationships/hyperlink" Target="https://www.ncbi.nlm.nih.gov/pubmed/18098321" TargetMode="External"/><Relationship Id="rId11" Type="http://schemas.openxmlformats.org/officeDocument/2006/relationships/hyperlink" Target="https://www.sciencedirect.com/topics/medicine-and-dentistry/liver-histology" TargetMode="External"/><Relationship Id="rId32" Type="http://schemas.openxmlformats.org/officeDocument/2006/relationships/hyperlink" Target="https://www.ncbi.nlm.nih.gov/pmc/articles/PMC4556902/" TargetMode="External"/><Relationship Id="rId37" Type="http://schemas.openxmlformats.org/officeDocument/2006/relationships/hyperlink" Target="https://www.ncbi.nlm.nih.gov/pmc/articles/PMC4556902/" TargetMode="External"/><Relationship Id="rId53" Type="http://schemas.openxmlformats.org/officeDocument/2006/relationships/hyperlink" Target="https://www.sciencedirect.com/topics/medicine-and-dentistry/steatosis" TargetMode="External"/><Relationship Id="rId58" Type="http://schemas.openxmlformats.org/officeDocument/2006/relationships/hyperlink" Target="https://www.sciencedirect.com/topics/medicine-and-dentistry/liver-function" TargetMode="External"/><Relationship Id="rId74" Type="http://schemas.openxmlformats.org/officeDocument/2006/relationships/hyperlink" Target="https://www.sciencedirect.com/topics/medicine-and-dentistry/mediterranean-diet" TargetMode="External"/><Relationship Id="rId79" Type="http://schemas.openxmlformats.org/officeDocument/2006/relationships/hyperlink" Target="https://www.sciencedirect.com/science/article/pii/S0955286315002259" TargetMode="External"/><Relationship Id="rId102" Type="http://schemas.openxmlformats.org/officeDocument/2006/relationships/hyperlink" Target="https://www.ncbi.nlm.nih.gov/pubmed/22717200" TargetMode="External"/><Relationship Id="rId123" Type="http://schemas.openxmlformats.org/officeDocument/2006/relationships/hyperlink" Target="https://www.ncbi.nlm.nih.gov/pubmed/20842026" TargetMode="External"/><Relationship Id="rId128" Type="http://schemas.openxmlformats.org/officeDocument/2006/relationships/hyperlink" Target="https://www.ncbi.nlm.nih.gov/pubmed/20879883" TargetMode="External"/><Relationship Id="rId5" Type="http://schemas.openxmlformats.org/officeDocument/2006/relationships/footnotes" Target="footnotes.xml"/><Relationship Id="rId90" Type="http://schemas.openxmlformats.org/officeDocument/2006/relationships/hyperlink" Target="https://www.ncbi.nlm.nih.gov/pmc/articles/PMC3160563/" TargetMode="External"/><Relationship Id="rId95" Type="http://schemas.openxmlformats.org/officeDocument/2006/relationships/hyperlink" Target="https://www.ncbi.nlm.nih.gov/pmc/articles/PMC3160563/" TargetMode="External"/><Relationship Id="rId14" Type="http://schemas.openxmlformats.org/officeDocument/2006/relationships/hyperlink" Target="https://www.sciencedirect.com/science/article/pii/S0955286315002259" TargetMode="External"/><Relationship Id="rId22" Type="http://schemas.openxmlformats.org/officeDocument/2006/relationships/hyperlink" Target="https://www.ncbi.nlm.nih.gov/pmc/articles/PMC3160563/" TargetMode="External"/><Relationship Id="rId27" Type="http://schemas.openxmlformats.org/officeDocument/2006/relationships/hyperlink" Target="https://www.ncbi.nlm.nih.gov/pmc/articles/PMC4556902/" TargetMode="External"/><Relationship Id="rId30" Type="http://schemas.openxmlformats.org/officeDocument/2006/relationships/hyperlink" Target="https://www.ncbi.nlm.nih.gov/pmc/articles/PMC4556902/" TargetMode="External"/><Relationship Id="rId35" Type="http://schemas.openxmlformats.org/officeDocument/2006/relationships/hyperlink" Target="https://www.ncbi.nlm.nih.gov/pmc/articles/PMC4556902/" TargetMode="External"/><Relationship Id="rId43" Type="http://schemas.openxmlformats.org/officeDocument/2006/relationships/hyperlink" Target="https://www.ncbi.nlm.nih.gov/pmc/articles/PMC4556902/" TargetMode="External"/><Relationship Id="rId48" Type="http://schemas.openxmlformats.org/officeDocument/2006/relationships/hyperlink" Target="https://www.ncbi.nlm.nih.gov/pmc/articles/PMC4556902/" TargetMode="External"/><Relationship Id="rId56" Type="http://schemas.openxmlformats.org/officeDocument/2006/relationships/hyperlink" Target="https://www.sciencedirect.com/topics/medicine-and-dentistry/cardiovascular-risk" TargetMode="External"/><Relationship Id="rId64" Type="http://schemas.openxmlformats.org/officeDocument/2006/relationships/hyperlink" Target="https://www.sciencedirect.com/topics/medicine-and-dentistry/trans-fatty-acid" TargetMode="External"/><Relationship Id="rId69" Type="http://schemas.openxmlformats.org/officeDocument/2006/relationships/hyperlink" Target="https://www.sciencedirect.com/topics/medicine-and-dentistry/lipid-peroxidation" TargetMode="External"/><Relationship Id="rId77" Type="http://schemas.openxmlformats.org/officeDocument/2006/relationships/hyperlink" Target="https://www.sciencedirect.com/science/article/pii/S0955286315002259" TargetMode="External"/><Relationship Id="rId100" Type="http://schemas.openxmlformats.org/officeDocument/2006/relationships/hyperlink" Target="https://www.ncbi.nlm.nih.gov/pubmed/24921212" TargetMode="External"/><Relationship Id="rId105" Type="http://schemas.openxmlformats.org/officeDocument/2006/relationships/hyperlink" Target="https://www.ncbi.nlm.nih.gov/pubmed/17576204" TargetMode="External"/><Relationship Id="rId113" Type="http://schemas.openxmlformats.org/officeDocument/2006/relationships/hyperlink" Target="http://www.nap.edu/catalog/10490.html" TargetMode="External"/><Relationship Id="rId118" Type="http://schemas.openxmlformats.org/officeDocument/2006/relationships/hyperlink" Target="https://www.ncbi.nlm.nih.gov/pubmed/22332062" TargetMode="External"/><Relationship Id="rId126" Type="http://schemas.openxmlformats.org/officeDocument/2006/relationships/hyperlink" Target="https://www.ncbi.nlm.nih.gov/pubmed/19058085" TargetMode="External"/><Relationship Id="rId8" Type="http://schemas.openxmlformats.org/officeDocument/2006/relationships/hyperlink" Target="https://www.ncbi.nlm.nih.gov/pmc/articles/PMC3160563/" TargetMode="External"/><Relationship Id="rId51" Type="http://schemas.openxmlformats.org/officeDocument/2006/relationships/hyperlink" Target="https://www.sciencedirect.com/topics/medicine-and-dentistry/body-weight" TargetMode="External"/><Relationship Id="rId72" Type="http://schemas.openxmlformats.org/officeDocument/2006/relationships/hyperlink" Target="https://www.sciencedirect.com/topics/medicine-and-dentistry/monounsaturated-fatty-acid" TargetMode="External"/><Relationship Id="rId80" Type="http://schemas.openxmlformats.org/officeDocument/2006/relationships/hyperlink" Target="https://www.sciencedirect.com/topics/medicine-and-dentistry/fat-intake" TargetMode="External"/><Relationship Id="rId85" Type="http://schemas.openxmlformats.org/officeDocument/2006/relationships/hyperlink" Target="https://www.sciencedirect.com/topics/medicine-and-dentistry/glycon" TargetMode="External"/><Relationship Id="rId93" Type="http://schemas.openxmlformats.org/officeDocument/2006/relationships/hyperlink" Target="https://www.ncbi.nlm.nih.gov/pmc/articles/PMC3160563/" TargetMode="External"/><Relationship Id="rId98" Type="http://schemas.openxmlformats.org/officeDocument/2006/relationships/hyperlink" Target="https://www.ncbi.nlm.nih.gov/pmc/articles/PMC3160563/" TargetMode="External"/><Relationship Id="rId121" Type="http://schemas.openxmlformats.org/officeDocument/2006/relationships/hyperlink" Target="https://www.ncbi.nlm.nih.gov/pubmed/20471804" TargetMode="External"/><Relationship Id="rId3" Type="http://schemas.openxmlformats.org/officeDocument/2006/relationships/settings" Target="settings.xml"/><Relationship Id="rId12" Type="http://schemas.openxmlformats.org/officeDocument/2006/relationships/hyperlink" Target="https://www.sciencedirect.com/science/article/pii/S0955286315002259" TargetMode="External"/><Relationship Id="rId17" Type="http://schemas.openxmlformats.org/officeDocument/2006/relationships/hyperlink" Target="https://www.sciencedirect.com/science/article/pii/S0955286315002259" TargetMode="External"/><Relationship Id="rId25" Type="http://schemas.openxmlformats.org/officeDocument/2006/relationships/hyperlink" Target="https://www.ncbi.nlm.nih.gov/pmc/articles/PMC4556902/" TargetMode="External"/><Relationship Id="rId33" Type="http://schemas.openxmlformats.org/officeDocument/2006/relationships/hyperlink" Target="https://www.ncbi.nlm.nih.gov/pmc/articles/PMC4556902/" TargetMode="External"/><Relationship Id="rId38" Type="http://schemas.openxmlformats.org/officeDocument/2006/relationships/hyperlink" Target="https://www.ncbi.nlm.nih.gov/pmc/articles/PMC4556902/" TargetMode="External"/><Relationship Id="rId46" Type="http://schemas.openxmlformats.org/officeDocument/2006/relationships/hyperlink" Target="https://www.ncbi.nlm.nih.gov/pmc/articles/PMC4556902/" TargetMode="External"/><Relationship Id="rId59" Type="http://schemas.openxmlformats.org/officeDocument/2006/relationships/hyperlink" Target="https://www.sciencedirect.com/topics/medicine-and-dentistry/caloric-intake" TargetMode="External"/><Relationship Id="rId67" Type="http://schemas.openxmlformats.org/officeDocument/2006/relationships/hyperlink" Target="https://www.sciencedirect.com/topics/medicine-and-dentistry/pathogenesis" TargetMode="External"/><Relationship Id="rId103" Type="http://schemas.openxmlformats.org/officeDocument/2006/relationships/hyperlink" Target="https://www.ncbi.nlm.nih.gov/pubmed/9252081" TargetMode="External"/><Relationship Id="rId108" Type="http://schemas.openxmlformats.org/officeDocument/2006/relationships/hyperlink" Target="https://www.ncbi.nlm.nih.gov/pmc/articles/PMC4027841/" TargetMode="External"/><Relationship Id="rId116" Type="http://schemas.openxmlformats.org/officeDocument/2006/relationships/hyperlink" Target="http://www.dietaryguidelines.gov" TargetMode="External"/><Relationship Id="rId124" Type="http://schemas.openxmlformats.org/officeDocument/2006/relationships/hyperlink" Target="https://www.ncbi.nlm.nih.gov/pubmed/17690317" TargetMode="External"/><Relationship Id="rId129" Type="http://schemas.openxmlformats.org/officeDocument/2006/relationships/hyperlink" Target="https://www.ncbi.nlm.nih.gov/pubmed/20471804" TargetMode="External"/><Relationship Id="rId20" Type="http://schemas.openxmlformats.org/officeDocument/2006/relationships/hyperlink" Target="https://www.ncbi.nlm.nih.gov/pmc/articles/PMC3160563/" TargetMode="External"/><Relationship Id="rId41" Type="http://schemas.openxmlformats.org/officeDocument/2006/relationships/hyperlink" Target="https://www.ncbi.nlm.nih.gov/pmc/articles/PMC4556902/" TargetMode="External"/><Relationship Id="rId54" Type="http://schemas.openxmlformats.org/officeDocument/2006/relationships/hyperlink" Target="https://www.sciencedirect.com/topics/medicine-and-dentistry/liver-cell-damage" TargetMode="External"/><Relationship Id="rId62" Type="http://schemas.openxmlformats.org/officeDocument/2006/relationships/hyperlink" Target="https://www.sciencedirect.com/topics/medicine-and-dentistry/chronic-disease" TargetMode="External"/><Relationship Id="rId70" Type="http://schemas.openxmlformats.org/officeDocument/2006/relationships/hyperlink" Target="https://www.sciencedirect.com/topics/medicine-and-dentistry/endotoxin" TargetMode="External"/><Relationship Id="rId75" Type="http://schemas.openxmlformats.org/officeDocument/2006/relationships/hyperlink" Target="https://www.sciencedirect.com/topics/medicine-and-dentistry/liver-enzyme" TargetMode="External"/><Relationship Id="rId83" Type="http://schemas.openxmlformats.org/officeDocument/2006/relationships/hyperlink" Target="https://www.sciencedirect.com/topics/medicine-and-dentistry/hydroxymethylglutaryl-coenzyme-a-reductase-inhibitor" TargetMode="External"/><Relationship Id="rId88" Type="http://schemas.openxmlformats.org/officeDocument/2006/relationships/hyperlink" Target="https://www.ncbi.nlm.nih.gov/pmc/articles/PMC3160563/" TargetMode="External"/><Relationship Id="rId91" Type="http://schemas.openxmlformats.org/officeDocument/2006/relationships/hyperlink" Target="https://www.ncbi.nlm.nih.gov/pmc/articles/PMC3160563/" TargetMode="External"/><Relationship Id="rId96" Type="http://schemas.openxmlformats.org/officeDocument/2006/relationships/hyperlink" Target="https://www.ncbi.nlm.nih.gov/pmc/articles/PMC3160563/" TargetMode="External"/><Relationship Id="rId111" Type="http://schemas.openxmlformats.org/officeDocument/2006/relationships/hyperlink" Target="https://www.ncbi.nlm.nih.gov/pmc/articles/PMC3090168/"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sciencedirect.com/topics/medicine-and-dentistry/liver-cell-damage" TargetMode="External"/><Relationship Id="rId23" Type="http://schemas.openxmlformats.org/officeDocument/2006/relationships/hyperlink" Target="https://www.ncbi.nlm.nih.gov/pmc/articles/PMC3160563/" TargetMode="External"/><Relationship Id="rId28" Type="http://schemas.openxmlformats.org/officeDocument/2006/relationships/hyperlink" Target="https://www.ncbi.nlm.nih.gov/pmc/articles/PMC4556902/" TargetMode="External"/><Relationship Id="rId36" Type="http://schemas.openxmlformats.org/officeDocument/2006/relationships/hyperlink" Target="https://www.ncbi.nlm.nih.gov/pmc/articles/PMC4556902/" TargetMode="External"/><Relationship Id="rId49" Type="http://schemas.openxmlformats.org/officeDocument/2006/relationships/hyperlink" Target="https://www.sciencedirect.com/topics/medicine-and-dentistry/body-weight-loss" TargetMode="External"/><Relationship Id="rId57" Type="http://schemas.openxmlformats.org/officeDocument/2006/relationships/hyperlink" Target="https://www.sciencedirect.com/topics/biochemistry-genetics-and-molecular-biology/aerobic-exercise" TargetMode="External"/><Relationship Id="rId106" Type="http://schemas.openxmlformats.org/officeDocument/2006/relationships/hyperlink" Target="https://www.ncbi.nlm.nih.gov/pubmed/19575599" TargetMode="External"/><Relationship Id="rId114" Type="http://schemas.openxmlformats.org/officeDocument/2006/relationships/hyperlink" Target="https://www.ncbi.nlm.nih.gov/pubmed/12449285" TargetMode="External"/><Relationship Id="rId119" Type="http://schemas.openxmlformats.org/officeDocument/2006/relationships/hyperlink" Target="https://www.ncbi.nlm.nih.gov/pubmed/22488764" TargetMode="External"/><Relationship Id="rId127" Type="http://schemas.openxmlformats.org/officeDocument/2006/relationships/hyperlink" Target="https://www.ncbi.nlm.nih.gov/pubmed/20014114" TargetMode="External"/><Relationship Id="rId10" Type="http://schemas.openxmlformats.org/officeDocument/2006/relationships/hyperlink" Target="https://www.sciencedirect.com/topics/medicine-and-dentistry/body-weight-loss" TargetMode="External"/><Relationship Id="rId31" Type="http://schemas.openxmlformats.org/officeDocument/2006/relationships/hyperlink" Target="https://www.ncbi.nlm.nih.gov/pmc/articles/PMC4556902/" TargetMode="External"/><Relationship Id="rId44" Type="http://schemas.openxmlformats.org/officeDocument/2006/relationships/hyperlink" Target="https://www.ncbi.nlm.nih.gov/pmc/articles/PMC4556902/" TargetMode="External"/><Relationship Id="rId52" Type="http://schemas.openxmlformats.org/officeDocument/2006/relationships/hyperlink" Target="https://www.sciencedirect.com/topics/medicine-and-dentistry/liver-histology" TargetMode="External"/><Relationship Id="rId60" Type="http://schemas.openxmlformats.org/officeDocument/2006/relationships/hyperlink" Target="https://www.sciencedirect.com/topics/medicine-and-dentistry/endocrine-function" TargetMode="External"/><Relationship Id="rId65" Type="http://schemas.openxmlformats.org/officeDocument/2006/relationships/hyperlink" Target="https://www.sciencedirect.com/topics/medicine-and-dentistry/fructose" TargetMode="External"/><Relationship Id="rId73" Type="http://schemas.openxmlformats.org/officeDocument/2006/relationships/hyperlink" Target="https://www.sciencedirect.com/topics/medicine-and-dentistry/dietary-pattern" TargetMode="External"/><Relationship Id="rId78" Type="http://schemas.openxmlformats.org/officeDocument/2006/relationships/hyperlink" Target="https://www.sciencedirect.com/topics/medicine-and-dentistry/alpha-tocopherol" TargetMode="External"/><Relationship Id="rId81" Type="http://schemas.openxmlformats.org/officeDocument/2006/relationships/hyperlink" Target="https://www.sciencedirect.com/topics/medicine-and-dentistry/carbohydrate-intake" TargetMode="External"/><Relationship Id="rId86" Type="http://schemas.openxmlformats.org/officeDocument/2006/relationships/hyperlink" Target="https://www.sciencedirect.com/topics/medicine-and-dentistry/randomized-clinical-trial" TargetMode="External"/><Relationship Id="rId94" Type="http://schemas.openxmlformats.org/officeDocument/2006/relationships/hyperlink" Target="https://www.ncbi.nlm.nih.gov/pmc/articles/PMC3160563/" TargetMode="External"/><Relationship Id="rId99" Type="http://schemas.openxmlformats.org/officeDocument/2006/relationships/hyperlink" Target="https://www.ncbi.nlm.nih.gov/pubmed/15257248" TargetMode="External"/><Relationship Id="rId101" Type="http://schemas.openxmlformats.org/officeDocument/2006/relationships/hyperlink" Target="https://www.ncbi.nlm.nih.gov/pubmed/16899321" TargetMode="External"/><Relationship Id="rId122" Type="http://schemas.openxmlformats.org/officeDocument/2006/relationships/hyperlink" Target="https://www.ncbi.nlm.nih.gov/pubmed/19765850" TargetMode="External"/><Relationship Id="rId130" Type="http://schemas.openxmlformats.org/officeDocument/2006/relationships/hyperlink" Target="https://www.ncbi.nlm.nih.gov/pubmed/19765850" TargetMode="External"/><Relationship Id="rId4" Type="http://schemas.openxmlformats.org/officeDocument/2006/relationships/webSettings" Target="webSettings.xml"/><Relationship Id="rId9" Type="http://schemas.openxmlformats.org/officeDocument/2006/relationships/hyperlink" Target="https://www.ncbi.nlm.nih.gov/pmc/articles/PMC3160563/" TargetMode="External"/><Relationship Id="rId13" Type="http://schemas.openxmlformats.org/officeDocument/2006/relationships/hyperlink" Target="https://www.sciencedirect.com/topics/medicine-and-dentistry/steatosis" TargetMode="External"/><Relationship Id="rId18" Type="http://schemas.openxmlformats.org/officeDocument/2006/relationships/hyperlink" Target="https://www.sciencedirect.com/topics/medicine-and-dentistry/cardiovascular-risk" TargetMode="External"/><Relationship Id="rId39" Type="http://schemas.openxmlformats.org/officeDocument/2006/relationships/hyperlink" Target="https://www.ncbi.nlm.nih.gov/pmc/articles/PMC4556902/" TargetMode="External"/><Relationship Id="rId109" Type="http://schemas.openxmlformats.org/officeDocument/2006/relationships/hyperlink" Target="https://www.ncbi.nlm.nih.gov/pubmed/24868294" TargetMode="External"/><Relationship Id="rId34" Type="http://schemas.openxmlformats.org/officeDocument/2006/relationships/hyperlink" Target="https://www.ncbi.nlm.nih.gov/pmc/articles/PMC4556902/" TargetMode="External"/><Relationship Id="rId50" Type="http://schemas.openxmlformats.org/officeDocument/2006/relationships/hyperlink" Target="https://www.sciencedirect.com/topics/medicine-and-dentistry/mustard-gas" TargetMode="External"/><Relationship Id="rId55" Type="http://schemas.openxmlformats.org/officeDocument/2006/relationships/hyperlink" Target="https://www.sciencedirect.com/science/article/pii/S0955286315002259" TargetMode="External"/><Relationship Id="rId76" Type="http://schemas.openxmlformats.org/officeDocument/2006/relationships/hyperlink" Target="https://www.sciencedirect.com/topics/medicine-and-dentistry/carbohydrate-diet" TargetMode="External"/><Relationship Id="rId97" Type="http://schemas.openxmlformats.org/officeDocument/2006/relationships/hyperlink" Target="https://www.ncbi.nlm.nih.gov/pmc/articles/PMC3160563/" TargetMode="External"/><Relationship Id="rId104" Type="http://schemas.openxmlformats.org/officeDocument/2006/relationships/hyperlink" Target="https://www.ncbi.nlm.nih.gov/pubmed/12883485" TargetMode="External"/><Relationship Id="rId120" Type="http://schemas.openxmlformats.org/officeDocument/2006/relationships/hyperlink" Target="https://www.ncbi.nlm.nih.gov/pubmed/20078219" TargetMode="External"/><Relationship Id="rId125" Type="http://schemas.openxmlformats.org/officeDocument/2006/relationships/hyperlink" Target="https://www.ncbi.nlm.nih.gov/pubmed/12717402" TargetMode="External"/><Relationship Id="rId7" Type="http://schemas.openxmlformats.org/officeDocument/2006/relationships/hyperlink" Target="mailto:bahadorinafiseh@yahoo.com" TargetMode="External"/><Relationship Id="rId71" Type="http://schemas.openxmlformats.org/officeDocument/2006/relationships/hyperlink" Target="https://www.sciencedirect.com/topics/medicine-and-dentistry/polyunsaturated-fatty-acid" TargetMode="External"/><Relationship Id="rId92" Type="http://schemas.openxmlformats.org/officeDocument/2006/relationships/hyperlink" Target="https://www.ncbi.nlm.nih.gov/pmc/articles/PMC3160563/" TargetMode="External"/><Relationship Id="rId2" Type="http://schemas.openxmlformats.org/officeDocument/2006/relationships/styles" Target="styles.xml"/><Relationship Id="rId29" Type="http://schemas.openxmlformats.org/officeDocument/2006/relationships/hyperlink" Target="https://www.ncbi.nlm.nih.gov/pmc/articles/PMC4556902/" TargetMode="External"/><Relationship Id="rId24" Type="http://schemas.openxmlformats.org/officeDocument/2006/relationships/hyperlink" Target="https://www.ncbi.nlm.nih.gov/pmc/articles/PMC3160563/" TargetMode="External"/><Relationship Id="rId40" Type="http://schemas.openxmlformats.org/officeDocument/2006/relationships/hyperlink" Target="https://www.ncbi.nlm.nih.gov/pmc/articles/PMC4556902/" TargetMode="External"/><Relationship Id="rId45" Type="http://schemas.openxmlformats.org/officeDocument/2006/relationships/hyperlink" Target="https://www.ncbi.nlm.nih.gov/pmc/articles/PMC4556902/" TargetMode="External"/><Relationship Id="rId66" Type="http://schemas.openxmlformats.org/officeDocument/2006/relationships/hyperlink" Target="https://www.sciencedirect.com/topics/medicine-and-dentistry/liver-injury" TargetMode="External"/><Relationship Id="rId87" Type="http://schemas.openxmlformats.org/officeDocument/2006/relationships/hyperlink" Target="https://www.sciencedirect.com/science/article/pii/S0955286315002259" TargetMode="External"/><Relationship Id="rId110" Type="http://schemas.openxmlformats.org/officeDocument/2006/relationships/hyperlink" Target="http://www.dietaryguidelines.gov" TargetMode="External"/><Relationship Id="rId115" Type="http://schemas.openxmlformats.org/officeDocument/2006/relationships/hyperlink" Target="http://www.wholegrainscouncil.org/whole-grains-101/whole-grain-guidelines-worldwide" TargetMode="External"/><Relationship Id="rId131" Type="http://schemas.openxmlformats.org/officeDocument/2006/relationships/footer" Target="footer1.xml"/><Relationship Id="rId61" Type="http://schemas.openxmlformats.org/officeDocument/2006/relationships/hyperlink" Target="https://www.sciencedirect.com/topics/medicine-and-dentistry/energy-balance" TargetMode="External"/><Relationship Id="rId82" Type="http://schemas.openxmlformats.org/officeDocument/2006/relationships/hyperlink" Target="https://www.sciencedirect.com/topics/medicine-and-dentistry/lifestyle-modification" TargetMode="External"/><Relationship Id="rId19" Type="http://schemas.openxmlformats.org/officeDocument/2006/relationships/hyperlink" Target="https://www.sciencedirect.com/science/article/pii/S0955286315002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95519-8371-4441-9C66-6E068BA9D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5808</Words>
  <Characters>33112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2</cp:revision>
  <dcterms:created xsi:type="dcterms:W3CDTF">2019-01-18T16:39:00Z</dcterms:created>
  <dcterms:modified xsi:type="dcterms:W3CDTF">2019-01-18T16:39:00Z</dcterms:modified>
</cp:coreProperties>
</file>