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0B0" w:rsidRPr="00B35A81" w:rsidRDefault="005630B0" w:rsidP="00F13647">
      <w:pPr>
        <w:jc w:val="center"/>
        <w:rPr>
          <w:rFonts w:asciiTheme="majorBidi" w:hAnsiTheme="majorBidi" w:cstheme="majorBidi"/>
          <w:b/>
          <w:color w:val="000000"/>
        </w:rPr>
      </w:pPr>
      <w:proofErr w:type="spellStart"/>
      <w:proofErr w:type="gramStart"/>
      <w:r w:rsidRPr="00B35A81">
        <w:rPr>
          <w:rFonts w:asciiTheme="majorBidi" w:hAnsiTheme="majorBidi" w:cstheme="majorBidi"/>
          <w:b/>
          <w:lang w:eastAsia="ja-JP"/>
        </w:rPr>
        <w:t>Everolimus</w:t>
      </w:r>
      <w:proofErr w:type="spellEnd"/>
      <w:r w:rsidRPr="00B35A81">
        <w:rPr>
          <w:rFonts w:asciiTheme="majorBidi" w:hAnsiTheme="majorBidi" w:cstheme="majorBidi"/>
          <w:b/>
        </w:rPr>
        <w:t xml:space="preserve"> plus </w:t>
      </w:r>
      <w:proofErr w:type="spellStart"/>
      <w:r w:rsidRPr="00B35A81">
        <w:rPr>
          <w:rFonts w:asciiTheme="majorBidi" w:hAnsiTheme="majorBidi" w:cstheme="majorBidi"/>
          <w:b/>
        </w:rPr>
        <w:t>Sorafenib</w:t>
      </w:r>
      <w:proofErr w:type="spellEnd"/>
      <w:r w:rsidRPr="00B35A81">
        <w:rPr>
          <w:rFonts w:asciiTheme="majorBidi" w:hAnsiTheme="majorBidi" w:cstheme="majorBidi"/>
          <w:b/>
        </w:rPr>
        <w:t xml:space="preserve"> as a treatment option for </w:t>
      </w:r>
      <w:proofErr w:type="spellStart"/>
      <w:r w:rsidRPr="00B35A81">
        <w:rPr>
          <w:rFonts w:asciiTheme="majorBidi" w:hAnsiTheme="majorBidi" w:cstheme="majorBidi"/>
          <w:b/>
        </w:rPr>
        <w:t>hepatocellular</w:t>
      </w:r>
      <w:proofErr w:type="spellEnd"/>
      <w:r w:rsidRPr="00B35A81">
        <w:rPr>
          <w:rFonts w:asciiTheme="majorBidi" w:hAnsiTheme="majorBidi" w:cstheme="majorBidi"/>
          <w:b/>
        </w:rPr>
        <w:t xml:space="preserve"> carcinoma recurrence after liver </w:t>
      </w:r>
      <w:r w:rsidRPr="00B35A81">
        <w:rPr>
          <w:rFonts w:asciiTheme="majorBidi" w:hAnsiTheme="majorBidi" w:cstheme="majorBidi"/>
          <w:b/>
          <w:color w:val="000000"/>
        </w:rPr>
        <w:t>transplantation.</w:t>
      </w:r>
      <w:proofErr w:type="gramEnd"/>
    </w:p>
    <w:p w:rsidR="005630B0" w:rsidRPr="00C218C2" w:rsidRDefault="00B35A81" w:rsidP="00C218C2">
      <w:pPr>
        <w:jc w:val="center"/>
        <w:rPr>
          <w:rFonts w:asciiTheme="majorBidi" w:hAnsiTheme="majorBidi" w:cstheme="majorBidi"/>
          <w:color w:val="000000"/>
          <w:sz w:val="18"/>
          <w:szCs w:val="18"/>
          <w:vertAlign w:val="superscript"/>
        </w:rPr>
      </w:pPr>
      <w:proofErr w:type="spellStart"/>
      <w:r w:rsidRPr="00C218C2">
        <w:rPr>
          <w:rFonts w:asciiTheme="majorBidi" w:hAnsiTheme="majorBidi" w:cstheme="majorBidi"/>
          <w:color w:val="000000"/>
          <w:sz w:val="18"/>
          <w:szCs w:val="18"/>
        </w:rPr>
        <w:t>Aline</w:t>
      </w:r>
      <w:proofErr w:type="spellEnd"/>
      <w:r w:rsidRPr="00C218C2">
        <w:rPr>
          <w:rFonts w:asciiTheme="majorBidi" w:hAnsiTheme="majorBidi" w:cstheme="majorBidi"/>
          <w:color w:val="000000"/>
          <w:sz w:val="18"/>
          <w:szCs w:val="18"/>
        </w:rPr>
        <w:t xml:space="preserve"> </w:t>
      </w:r>
      <w:proofErr w:type="spellStart"/>
      <w:r w:rsidRPr="00C218C2">
        <w:rPr>
          <w:rFonts w:asciiTheme="majorBidi" w:hAnsiTheme="majorBidi" w:cstheme="majorBidi"/>
          <w:color w:val="000000"/>
          <w:sz w:val="18"/>
          <w:szCs w:val="18"/>
        </w:rPr>
        <w:t>Youne</w:t>
      </w:r>
      <w:r w:rsidR="005630B0" w:rsidRPr="00C218C2">
        <w:rPr>
          <w:rFonts w:asciiTheme="majorBidi" w:hAnsiTheme="majorBidi" w:cstheme="majorBidi"/>
          <w:color w:val="000000"/>
          <w:sz w:val="18"/>
          <w:szCs w:val="18"/>
        </w:rPr>
        <w:t>s</w:t>
      </w:r>
      <w:proofErr w:type="spellEnd"/>
      <w:r w:rsidR="005630B0" w:rsidRPr="00C218C2">
        <w:rPr>
          <w:rFonts w:asciiTheme="majorBidi" w:hAnsiTheme="majorBidi" w:cstheme="majorBidi"/>
          <w:color w:val="000000"/>
          <w:sz w:val="18"/>
          <w:szCs w:val="18"/>
        </w:rPr>
        <w:t xml:space="preserve">, Hidetoshi Nitta, Vincent </w:t>
      </w:r>
      <w:proofErr w:type="spellStart"/>
      <w:r w:rsidR="005630B0" w:rsidRPr="00C218C2">
        <w:rPr>
          <w:rFonts w:asciiTheme="majorBidi" w:hAnsiTheme="majorBidi" w:cstheme="majorBidi"/>
          <w:color w:val="000000"/>
          <w:sz w:val="18"/>
          <w:szCs w:val="18"/>
        </w:rPr>
        <w:t>Karam</w:t>
      </w:r>
      <w:proofErr w:type="spellEnd"/>
      <w:r w:rsidR="005630B0" w:rsidRPr="00C218C2">
        <w:rPr>
          <w:rFonts w:asciiTheme="majorBidi" w:hAnsiTheme="majorBidi" w:cstheme="majorBidi"/>
          <w:color w:val="000000"/>
          <w:sz w:val="18"/>
          <w:szCs w:val="18"/>
        </w:rPr>
        <w:t xml:space="preserve">, </w:t>
      </w:r>
      <w:proofErr w:type="spellStart"/>
      <w:r w:rsidR="005630B0" w:rsidRPr="00C218C2">
        <w:rPr>
          <w:rFonts w:asciiTheme="majorBidi" w:hAnsiTheme="majorBidi" w:cstheme="majorBidi"/>
          <w:color w:val="000000"/>
          <w:sz w:val="18"/>
          <w:szCs w:val="18"/>
        </w:rPr>
        <w:t>Rodolphe</w:t>
      </w:r>
      <w:proofErr w:type="spellEnd"/>
      <w:r w:rsidR="005630B0" w:rsidRPr="00C218C2">
        <w:rPr>
          <w:rFonts w:asciiTheme="majorBidi" w:hAnsiTheme="majorBidi" w:cstheme="majorBidi"/>
          <w:color w:val="000000"/>
          <w:sz w:val="18"/>
          <w:szCs w:val="18"/>
        </w:rPr>
        <w:t xml:space="preserve"> </w:t>
      </w:r>
      <w:proofErr w:type="spellStart"/>
      <w:r w:rsidR="005630B0" w:rsidRPr="00C218C2">
        <w:rPr>
          <w:rFonts w:asciiTheme="majorBidi" w:hAnsiTheme="majorBidi" w:cstheme="majorBidi"/>
          <w:color w:val="000000"/>
          <w:sz w:val="18"/>
          <w:szCs w:val="18"/>
        </w:rPr>
        <w:t>Sobesky</w:t>
      </w:r>
      <w:proofErr w:type="spellEnd"/>
      <w:r w:rsidR="005630B0" w:rsidRPr="00C218C2">
        <w:rPr>
          <w:rFonts w:asciiTheme="majorBidi" w:hAnsiTheme="majorBidi" w:cstheme="majorBidi"/>
          <w:color w:val="000000"/>
          <w:sz w:val="18"/>
          <w:szCs w:val="18"/>
        </w:rPr>
        <w:t xml:space="preserve">, Eric </w:t>
      </w:r>
      <w:proofErr w:type="spellStart"/>
      <w:r w:rsidR="005630B0" w:rsidRPr="00C218C2">
        <w:rPr>
          <w:rFonts w:asciiTheme="majorBidi" w:hAnsiTheme="majorBidi" w:cstheme="majorBidi"/>
          <w:color w:val="000000"/>
          <w:sz w:val="18"/>
          <w:szCs w:val="18"/>
        </w:rPr>
        <w:t>Vibert</w:t>
      </w:r>
      <w:proofErr w:type="spellEnd"/>
      <w:r w:rsidR="005630B0" w:rsidRPr="00C218C2">
        <w:rPr>
          <w:rFonts w:asciiTheme="majorBidi" w:hAnsiTheme="majorBidi" w:cstheme="majorBidi"/>
          <w:color w:val="000000"/>
          <w:sz w:val="18"/>
          <w:szCs w:val="18"/>
        </w:rPr>
        <w:t xml:space="preserve">, Audrey </w:t>
      </w:r>
      <w:proofErr w:type="spellStart"/>
      <w:r w:rsidR="005630B0" w:rsidRPr="00C218C2">
        <w:rPr>
          <w:rFonts w:asciiTheme="majorBidi" w:hAnsiTheme="majorBidi" w:cstheme="majorBidi"/>
          <w:color w:val="000000"/>
          <w:sz w:val="18"/>
          <w:szCs w:val="18"/>
        </w:rPr>
        <w:t>Coilly</w:t>
      </w:r>
      <w:proofErr w:type="spellEnd"/>
      <w:r w:rsidR="005630B0" w:rsidRPr="00C218C2">
        <w:rPr>
          <w:rFonts w:asciiTheme="majorBidi" w:hAnsiTheme="majorBidi" w:cstheme="majorBidi"/>
          <w:color w:val="000000"/>
          <w:sz w:val="18"/>
          <w:szCs w:val="18"/>
        </w:rPr>
        <w:t xml:space="preserve">, Teresa Maria </w:t>
      </w:r>
      <w:proofErr w:type="spellStart"/>
      <w:r w:rsidR="005630B0" w:rsidRPr="00C218C2">
        <w:rPr>
          <w:rFonts w:asciiTheme="majorBidi" w:hAnsiTheme="majorBidi" w:cstheme="majorBidi"/>
          <w:color w:val="000000"/>
          <w:sz w:val="18"/>
          <w:szCs w:val="18"/>
        </w:rPr>
        <w:t>Antonini</w:t>
      </w:r>
      <w:proofErr w:type="spellEnd"/>
      <w:r w:rsidR="005630B0" w:rsidRPr="00C218C2">
        <w:rPr>
          <w:rFonts w:asciiTheme="majorBidi" w:hAnsiTheme="majorBidi" w:cstheme="majorBidi"/>
          <w:color w:val="000000"/>
          <w:sz w:val="18"/>
          <w:szCs w:val="18"/>
        </w:rPr>
        <w:t xml:space="preserve">, Daniel </w:t>
      </w:r>
      <w:proofErr w:type="spellStart"/>
      <w:r w:rsidR="005630B0" w:rsidRPr="00C218C2">
        <w:rPr>
          <w:rFonts w:asciiTheme="majorBidi" w:hAnsiTheme="majorBidi" w:cstheme="majorBidi"/>
          <w:color w:val="000000"/>
          <w:sz w:val="18"/>
          <w:szCs w:val="18"/>
        </w:rPr>
        <w:t>Cherqui</w:t>
      </w:r>
      <w:proofErr w:type="spellEnd"/>
      <w:r w:rsidR="005630B0" w:rsidRPr="00C218C2">
        <w:rPr>
          <w:rFonts w:asciiTheme="majorBidi" w:hAnsiTheme="majorBidi" w:cstheme="majorBidi"/>
          <w:color w:val="000000"/>
          <w:sz w:val="18"/>
          <w:szCs w:val="18"/>
        </w:rPr>
        <w:t>, Hideo Baba, René Adam, Didier Samuel</w:t>
      </w:r>
      <w:r w:rsidR="005630B0" w:rsidRPr="00C218C2">
        <w:rPr>
          <w:rFonts w:asciiTheme="majorBidi" w:hAnsiTheme="majorBidi" w:cstheme="majorBidi"/>
          <w:color w:val="000000"/>
          <w:sz w:val="18"/>
          <w:szCs w:val="18"/>
          <w:lang w:eastAsia="ja-JP"/>
        </w:rPr>
        <w:t xml:space="preserve">, </w:t>
      </w:r>
      <w:proofErr w:type="spellStart"/>
      <w:proofErr w:type="gramStart"/>
      <w:r w:rsidR="005630B0" w:rsidRPr="00C218C2">
        <w:rPr>
          <w:rFonts w:asciiTheme="majorBidi" w:hAnsiTheme="majorBidi" w:cstheme="majorBidi"/>
          <w:color w:val="000000"/>
          <w:sz w:val="18"/>
          <w:szCs w:val="18"/>
        </w:rPr>
        <w:t>Faouzi</w:t>
      </w:r>
      <w:proofErr w:type="spellEnd"/>
      <w:proofErr w:type="gramEnd"/>
      <w:r w:rsidR="005630B0" w:rsidRPr="00C218C2">
        <w:rPr>
          <w:rFonts w:asciiTheme="majorBidi" w:hAnsiTheme="majorBidi" w:cstheme="majorBidi"/>
          <w:color w:val="000000"/>
          <w:sz w:val="18"/>
          <w:szCs w:val="18"/>
        </w:rPr>
        <w:t xml:space="preserve"> </w:t>
      </w:r>
      <w:proofErr w:type="spellStart"/>
      <w:r w:rsidR="005630B0" w:rsidRPr="00C218C2">
        <w:rPr>
          <w:rFonts w:asciiTheme="majorBidi" w:hAnsiTheme="majorBidi" w:cstheme="majorBidi"/>
          <w:color w:val="000000"/>
          <w:sz w:val="18"/>
          <w:szCs w:val="18"/>
        </w:rPr>
        <w:t>Saliba</w:t>
      </w:r>
      <w:proofErr w:type="spellEnd"/>
      <w:r w:rsidR="00E23966" w:rsidRPr="00C218C2">
        <w:rPr>
          <w:rFonts w:asciiTheme="majorBidi" w:hAnsiTheme="majorBidi" w:cstheme="majorBidi"/>
          <w:color w:val="000000"/>
          <w:sz w:val="18"/>
          <w:szCs w:val="18"/>
        </w:rPr>
        <w:t>.</w:t>
      </w:r>
    </w:p>
    <w:p w:rsidR="00F13647" w:rsidRDefault="005630B0" w:rsidP="00F13647">
      <w:pPr>
        <w:jc w:val="center"/>
        <w:rPr>
          <w:rFonts w:asciiTheme="majorBidi" w:hAnsiTheme="majorBidi" w:cstheme="majorBidi"/>
          <w:lang w:val="fr-FR"/>
        </w:rPr>
        <w:sectPr w:rsidR="00F13647" w:rsidSect="00C218C2">
          <w:pgSz w:w="11900" w:h="16840"/>
          <w:pgMar w:top="284" w:right="720" w:bottom="720" w:left="720" w:header="708" w:footer="708" w:gutter="0"/>
          <w:cols w:space="708"/>
          <w:docGrid w:linePitch="360"/>
        </w:sectPr>
      </w:pPr>
      <w:r w:rsidRPr="00C218C2">
        <w:rPr>
          <w:rFonts w:asciiTheme="majorBidi" w:hAnsiTheme="majorBidi" w:cstheme="majorBidi"/>
          <w:sz w:val="18"/>
          <w:szCs w:val="18"/>
          <w:lang w:val="fr-FR"/>
        </w:rPr>
        <w:t xml:space="preserve">AP-HP, Hôpital Paul Brousse, Centre </w:t>
      </w:r>
      <w:proofErr w:type="spellStart"/>
      <w:r w:rsidRPr="00C218C2">
        <w:rPr>
          <w:rFonts w:asciiTheme="majorBidi" w:hAnsiTheme="majorBidi" w:cstheme="majorBidi"/>
          <w:sz w:val="18"/>
          <w:szCs w:val="18"/>
          <w:lang w:val="fr-FR"/>
        </w:rPr>
        <w:t>Hépato-Biliaire</w:t>
      </w:r>
      <w:proofErr w:type="spellEnd"/>
      <w:r w:rsidRPr="00C218C2">
        <w:rPr>
          <w:rFonts w:asciiTheme="majorBidi" w:hAnsiTheme="majorBidi" w:cstheme="majorBidi"/>
          <w:sz w:val="18"/>
          <w:szCs w:val="18"/>
          <w:lang w:val="fr-FR"/>
        </w:rPr>
        <w:t>, Université Paris Sud, Unité INSERM U 935 and U</w:t>
      </w:r>
      <w:r w:rsidRPr="00B35A81">
        <w:rPr>
          <w:rFonts w:asciiTheme="majorBidi" w:hAnsiTheme="majorBidi" w:cstheme="majorBidi"/>
          <w:lang w:val="fr-FR"/>
        </w:rPr>
        <w:t xml:space="preserve"> 1193, Villejuif- France.</w:t>
      </w:r>
    </w:p>
    <w:p w:rsidR="00F13647" w:rsidRPr="00C218C2" w:rsidRDefault="00F13647" w:rsidP="00B35A81">
      <w:pPr>
        <w:jc w:val="both"/>
        <w:rPr>
          <w:rFonts w:asciiTheme="majorBidi" w:hAnsiTheme="majorBidi" w:cstheme="majorBidi"/>
          <w:b/>
          <w:color w:val="000000"/>
          <w:lang w:val="fr-FR"/>
        </w:rPr>
      </w:pPr>
    </w:p>
    <w:p w:rsidR="00F13647" w:rsidRDefault="00E23966" w:rsidP="00B35A81">
      <w:pPr>
        <w:jc w:val="both"/>
        <w:rPr>
          <w:rFonts w:asciiTheme="majorBidi" w:hAnsiTheme="majorBidi" w:cstheme="majorBidi"/>
          <w:color w:val="000000"/>
        </w:rPr>
      </w:pPr>
      <w:r w:rsidRPr="00B35A81">
        <w:rPr>
          <w:rFonts w:asciiTheme="majorBidi" w:hAnsiTheme="majorBidi" w:cstheme="majorBidi"/>
          <w:b/>
          <w:color w:val="000000"/>
        </w:rPr>
        <w:t>Background:</w:t>
      </w:r>
      <w:r w:rsidRPr="00B35A81">
        <w:rPr>
          <w:rFonts w:asciiTheme="majorBidi" w:hAnsiTheme="majorBidi" w:cstheme="majorBidi"/>
          <w:color w:val="000000"/>
        </w:rPr>
        <w:t xml:space="preserve"> Few authors reported on the outcome of patients with </w:t>
      </w:r>
      <w:proofErr w:type="spellStart"/>
      <w:r w:rsidRPr="00B35A81">
        <w:rPr>
          <w:rFonts w:asciiTheme="majorBidi" w:hAnsiTheme="majorBidi" w:cstheme="majorBidi"/>
          <w:color w:val="000000"/>
        </w:rPr>
        <w:t>hepatocellular</w:t>
      </w:r>
      <w:proofErr w:type="spellEnd"/>
      <w:r w:rsidRPr="00B35A81">
        <w:rPr>
          <w:rFonts w:asciiTheme="majorBidi" w:hAnsiTheme="majorBidi" w:cstheme="majorBidi"/>
          <w:color w:val="000000"/>
        </w:rPr>
        <w:t xml:space="preserve"> carcinoma (HCC) recurrence after liver transplantation (LT). The aim of this study is to analyze predictive factors of survival for patients after HCC recurrence and best treatment strategies.</w:t>
      </w:r>
    </w:p>
    <w:p w:rsidR="00F13647" w:rsidRDefault="00E23966" w:rsidP="00B35A81">
      <w:pPr>
        <w:jc w:val="both"/>
        <w:rPr>
          <w:rFonts w:asciiTheme="majorBidi" w:hAnsiTheme="majorBidi" w:cstheme="majorBidi"/>
          <w:color w:val="000000"/>
          <w:lang w:eastAsia="ja-JP"/>
        </w:rPr>
        <w:sectPr w:rsidR="00F13647" w:rsidSect="00F13647">
          <w:type w:val="continuous"/>
          <w:pgSz w:w="11900" w:h="16840"/>
          <w:pgMar w:top="720" w:right="720" w:bottom="720" w:left="720" w:header="708" w:footer="708" w:gutter="0"/>
          <w:cols w:space="708"/>
          <w:docGrid w:linePitch="360"/>
        </w:sectPr>
      </w:pPr>
      <w:r w:rsidRPr="00B35A81">
        <w:rPr>
          <w:rFonts w:asciiTheme="majorBidi" w:hAnsiTheme="majorBidi" w:cstheme="majorBidi"/>
          <w:color w:val="000000"/>
          <w:lang w:eastAsia="ja-JP"/>
        </w:rPr>
        <w:t xml:space="preserve"> </w:t>
      </w:r>
    </w:p>
    <w:p w:rsidR="00E23966" w:rsidRDefault="00E23966" w:rsidP="00B35A81">
      <w:pPr>
        <w:jc w:val="both"/>
        <w:rPr>
          <w:rFonts w:asciiTheme="majorBidi" w:hAnsiTheme="majorBidi" w:cstheme="majorBidi"/>
        </w:rPr>
      </w:pPr>
      <w:r w:rsidRPr="00B35A81">
        <w:rPr>
          <w:rFonts w:asciiTheme="majorBidi" w:hAnsiTheme="majorBidi" w:cstheme="majorBidi"/>
          <w:b/>
          <w:color w:val="000000"/>
        </w:rPr>
        <w:lastRenderedPageBreak/>
        <w:t>Methods</w:t>
      </w:r>
      <w:r w:rsidRPr="00B35A81">
        <w:rPr>
          <w:rFonts w:asciiTheme="majorBidi" w:hAnsiTheme="majorBidi" w:cstheme="majorBidi"/>
          <w:color w:val="000000"/>
        </w:rPr>
        <w:t xml:space="preserve">: </w:t>
      </w:r>
      <w:r w:rsidRPr="00B35A81">
        <w:rPr>
          <w:rFonts w:asciiTheme="majorBidi" w:hAnsiTheme="majorBidi" w:cstheme="majorBidi"/>
        </w:rPr>
        <w:t>Consecutive patients who underwent LT for HCC between 2005 and 2015 at our centre were recruited. Characteristics of patients with recurrence, modalities of treatment and outcome were collected retrospectively. Predictive factors for survival after recurrence were analy</w:t>
      </w:r>
      <w:r w:rsidR="00F13647">
        <w:rPr>
          <w:rFonts w:asciiTheme="majorBidi" w:hAnsiTheme="majorBidi" w:cstheme="majorBidi"/>
        </w:rPr>
        <w:t>zed by Cox regression analysis.</w:t>
      </w:r>
    </w:p>
    <w:p w:rsidR="00F13647" w:rsidRPr="00B35A81" w:rsidRDefault="00F13647" w:rsidP="00B35A81">
      <w:pPr>
        <w:jc w:val="both"/>
        <w:rPr>
          <w:rFonts w:asciiTheme="majorBidi" w:hAnsiTheme="majorBidi" w:cstheme="majorBidi"/>
          <w:color w:val="000000"/>
        </w:rPr>
      </w:pPr>
    </w:p>
    <w:p w:rsidR="00E23966" w:rsidRDefault="00E23966" w:rsidP="00F13647">
      <w:pPr>
        <w:jc w:val="both"/>
        <w:rPr>
          <w:rFonts w:asciiTheme="majorBidi" w:hAnsiTheme="majorBidi" w:cstheme="majorBidi"/>
          <w:color w:val="000000"/>
        </w:rPr>
      </w:pPr>
      <w:r w:rsidRPr="00B35A81">
        <w:rPr>
          <w:rFonts w:asciiTheme="majorBidi" w:hAnsiTheme="majorBidi" w:cstheme="majorBidi"/>
          <w:b/>
        </w:rPr>
        <w:t>Results:</w:t>
      </w:r>
      <w:r w:rsidRPr="00B35A81">
        <w:rPr>
          <w:rFonts w:asciiTheme="majorBidi" w:hAnsiTheme="majorBidi" w:cstheme="majorBidi"/>
        </w:rPr>
        <w:t xml:space="preserve"> Among 306</w:t>
      </w:r>
      <w:r w:rsidRPr="00B35A81">
        <w:rPr>
          <w:rFonts w:asciiTheme="majorBidi" w:hAnsiTheme="majorBidi" w:cstheme="majorBidi"/>
          <w:color w:val="000000"/>
        </w:rPr>
        <w:t xml:space="preserve"> patients underwent LT, 43 patients (14%) developed HCC recurrence with a median survival time after recurrence of 10.9 months </w:t>
      </w:r>
      <w:r w:rsidRPr="00B35A81">
        <w:rPr>
          <w:rFonts w:asciiTheme="majorBidi" w:hAnsiTheme="majorBidi" w:cstheme="majorBidi"/>
          <w:lang w:eastAsia="ja-JP"/>
        </w:rPr>
        <w:t>(95%CI: 6.6-18.6)</w:t>
      </w:r>
      <w:r w:rsidRPr="00B35A81">
        <w:rPr>
          <w:rFonts w:asciiTheme="majorBidi" w:hAnsiTheme="majorBidi" w:cstheme="majorBidi"/>
          <w:color w:val="000000"/>
        </w:rPr>
        <w:t>. Main treatment for recurrence was chemotherapy (</w:t>
      </w:r>
      <w:proofErr w:type="spellStart"/>
      <w:r w:rsidRPr="00B35A81">
        <w:rPr>
          <w:rFonts w:asciiTheme="majorBidi" w:hAnsiTheme="majorBidi" w:cstheme="majorBidi"/>
          <w:color w:val="000000"/>
        </w:rPr>
        <w:t>Sorafenib</w:t>
      </w:r>
      <w:proofErr w:type="spellEnd"/>
      <w:r w:rsidRPr="00B35A81">
        <w:rPr>
          <w:rFonts w:asciiTheme="majorBidi" w:hAnsiTheme="majorBidi" w:cstheme="majorBidi"/>
          <w:color w:val="000000"/>
        </w:rPr>
        <w:t xml:space="preserve"> or </w:t>
      </w:r>
      <w:proofErr w:type="spellStart"/>
      <w:r w:rsidRPr="00B35A81">
        <w:rPr>
          <w:rFonts w:asciiTheme="majorBidi" w:hAnsiTheme="majorBidi" w:cstheme="majorBidi"/>
          <w:color w:val="000000"/>
        </w:rPr>
        <w:t>Gemcitabine</w:t>
      </w:r>
      <w:proofErr w:type="spellEnd"/>
      <w:r w:rsidRPr="00B35A81">
        <w:rPr>
          <w:rFonts w:asciiTheme="majorBidi" w:hAnsiTheme="majorBidi" w:cstheme="majorBidi"/>
          <w:color w:val="000000"/>
        </w:rPr>
        <w:t xml:space="preserve"> based, n=33). Survival of patients treated with </w:t>
      </w:r>
      <w:proofErr w:type="spellStart"/>
      <w:r w:rsidRPr="00B35A81">
        <w:rPr>
          <w:rFonts w:asciiTheme="majorBidi" w:hAnsiTheme="majorBidi" w:cstheme="majorBidi"/>
          <w:color w:val="000000"/>
        </w:rPr>
        <w:t>Sorafenib</w:t>
      </w:r>
      <w:proofErr w:type="spellEnd"/>
      <w:r w:rsidRPr="00B35A81">
        <w:rPr>
          <w:rFonts w:asciiTheme="majorBidi" w:hAnsiTheme="majorBidi" w:cstheme="majorBidi"/>
          <w:color w:val="000000"/>
        </w:rPr>
        <w:t xml:space="preserve"> (SOR) and </w:t>
      </w:r>
      <w:proofErr w:type="spellStart"/>
      <w:r w:rsidRPr="00B35A81">
        <w:rPr>
          <w:rFonts w:asciiTheme="majorBidi" w:hAnsiTheme="majorBidi" w:cstheme="majorBidi"/>
          <w:color w:val="000000"/>
        </w:rPr>
        <w:t>everolimus</w:t>
      </w:r>
      <w:proofErr w:type="spellEnd"/>
      <w:r w:rsidRPr="00B35A81">
        <w:rPr>
          <w:rFonts w:asciiTheme="majorBidi" w:hAnsiTheme="majorBidi" w:cstheme="majorBidi"/>
          <w:color w:val="000000"/>
        </w:rPr>
        <w:t xml:space="preserve"> (EVL) (n=19) was significantly better than that of the group treated with other strategies (n=24) (</w:t>
      </w:r>
      <w:r w:rsidRPr="00B35A81">
        <w:rPr>
          <w:rFonts w:asciiTheme="majorBidi" w:hAnsiTheme="majorBidi" w:cstheme="majorBidi"/>
          <w:i/>
          <w:color w:val="000000"/>
        </w:rPr>
        <w:t xml:space="preserve">P </w:t>
      </w:r>
      <w:r w:rsidRPr="00B35A81">
        <w:rPr>
          <w:rFonts w:asciiTheme="majorBidi" w:hAnsiTheme="majorBidi" w:cstheme="majorBidi"/>
          <w:color w:val="000000"/>
        </w:rPr>
        <w:t xml:space="preserve">=0.0006). Multivariate analysis demonstrated that SOR+EVL therapy and absence of dissemination at diagnosis of recurrence were independent predictive factors of prolonged survival after recurrence. Among the patient treated with EVL, survival of patients with controlled EVL blood trough levels </w:t>
      </w:r>
      <w:r w:rsidRPr="00B35A81">
        <w:rPr>
          <w:rFonts w:asciiTheme="majorBidi" w:hAnsiTheme="majorBidi" w:cstheme="majorBidi"/>
          <w:color w:val="000000"/>
          <w:lang w:eastAsia="ja-JP"/>
        </w:rPr>
        <w:t>≥</w:t>
      </w:r>
      <w:r w:rsidRPr="00B35A81">
        <w:rPr>
          <w:rFonts w:asciiTheme="majorBidi" w:hAnsiTheme="majorBidi" w:cstheme="majorBidi"/>
          <w:color w:val="000000"/>
        </w:rPr>
        <w:t xml:space="preserve">5 </w:t>
      </w:r>
      <w:proofErr w:type="spellStart"/>
      <w:r w:rsidRPr="00B35A81">
        <w:rPr>
          <w:rFonts w:asciiTheme="majorBidi" w:hAnsiTheme="majorBidi" w:cstheme="majorBidi"/>
          <w:color w:val="000000"/>
        </w:rPr>
        <w:t>ng</w:t>
      </w:r>
      <w:proofErr w:type="spellEnd"/>
      <w:r w:rsidRPr="00B35A81">
        <w:rPr>
          <w:rFonts w:asciiTheme="majorBidi" w:hAnsiTheme="majorBidi" w:cstheme="majorBidi"/>
          <w:color w:val="000000"/>
        </w:rPr>
        <w:t xml:space="preserve">/ml was significantly better compared to those with EVL through levels &lt;5 </w:t>
      </w:r>
      <w:proofErr w:type="spellStart"/>
      <w:r w:rsidRPr="00B35A81">
        <w:rPr>
          <w:rFonts w:asciiTheme="majorBidi" w:hAnsiTheme="majorBidi" w:cstheme="majorBidi"/>
          <w:color w:val="000000"/>
        </w:rPr>
        <w:t>ng</w:t>
      </w:r>
      <w:proofErr w:type="spellEnd"/>
      <w:r w:rsidRPr="00B35A81">
        <w:rPr>
          <w:rFonts w:asciiTheme="majorBidi" w:hAnsiTheme="majorBidi" w:cstheme="majorBidi"/>
          <w:color w:val="000000"/>
        </w:rPr>
        <w:t xml:space="preserve">/ml (p = 0.021). Adverse events were comparable among groups treated with SOR in </w:t>
      </w:r>
      <w:r w:rsidRPr="00B35A81">
        <w:rPr>
          <w:rFonts w:asciiTheme="majorBidi" w:hAnsiTheme="majorBidi" w:cstheme="majorBidi"/>
          <w:color w:val="000000"/>
        </w:rPr>
        <w:lastRenderedPageBreak/>
        <w:t>combination or not to EVL.</w:t>
      </w:r>
      <w:r w:rsidR="00F13647" w:rsidRPr="00F13647">
        <w:rPr>
          <w:rFonts w:asciiTheme="majorBidi" w:hAnsiTheme="majorBidi" w:cstheme="majorBidi"/>
          <w:color w:val="000000"/>
        </w:rPr>
        <w:t xml:space="preserve"> </w:t>
      </w:r>
    </w:p>
    <w:p w:rsidR="00C218C2" w:rsidRDefault="00C218C2" w:rsidP="00C218C2">
      <w:pPr>
        <w:jc w:val="center"/>
        <w:rPr>
          <w:rFonts w:asciiTheme="majorBidi" w:hAnsiTheme="majorBidi" w:cstheme="majorBidi"/>
          <w:b/>
          <w:color w:val="000000"/>
        </w:rPr>
      </w:pPr>
      <w:r>
        <w:rPr>
          <w:rFonts w:asciiTheme="majorBidi" w:hAnsiTheme="majorBidi" w:cstheme="majorBidi"/>
          <w:noProof/>
          <w:lang w:eastAsia="en-US"/>
        </w:rPr>
        <w:drawing>
          <wp:inline distT="0" distB="0" distL="0" distR="0">
            <wp:extent cx="2377440" cy="2133600"/>
            <wp:effectExtent l="0" t="0" r="0" b="0"/>
            <wp:docPr id="7" name="Picture 7" descr="C:\Users\LARA\AppData\Local\Microsoft\Windows\INetCache\Content.Word\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LARA\AppData\Local\Microsoft\Windows\INetCache\Content.Word\Picture2.pn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7440" cy="2133600"/>
                    </a:xfrm>
                    <a:prstGeom prst="rect">
                      <a:avLst/>
                    </a:prstGeom>
                    <a:noFill/>
                    <a:ln>
                      <a:noFill/>
                    </a:ln>
                  </pic:spPr>
                </pic:pic>
              </a:graphicData>
            </a:graphic>
          </wp:inline>
        </w:drawing>
      </w:r>
    </w:p>
    <w:p w:rsidR="00EE2F74" w:rsidRDefault="00E23966" w:rsidP="00C218C2">
      <w:pPr>
        <w:rPr>
          <w:rFonts w:asciiTheme="majorBidi" w:hAnsiTheme="majorBidi" w:cstheme="majorBidi"/>
        </w:rPr>
      </w:pPr>
      <w:r w:rsidRPr="00B35A81">
        <w:rPr>
          <w:rFonts w:asciiTheme="majorBidi" w:hAnsiTheme="majorBidi" w:cstheme="majorBidi"/>
          <w:b/>
          <w:color w:val="000000"/>
        </w:rPr>
        <w:t>Conclusion:</w:t>
      </w:r>
      <w:r w:rsidRPr="00B35A81">
        <w:rPr>
          <w:rFonts w:asciiTheme="majorBidi" w:hAnsiTheme="majorBidi" w:cstheme="majorBidi"/>
          <w:color w:val="000000"/>
        </w:rPr>
        <w:t xml:space="preserve"> The </w:t>
      </w:r>
      <w:r w:rsidRPr="00B35A81">
        <w:rPr>
          <w:rFonts w:asciiTheme="majorBidi" w:hAnsiTheme="majorBidi" w:cstheme="majorBidi"/>
        </w:rPr>
        <w:t xml:space="preserve">combination therapy of SOR and EVL was an independent predictor for better survival after HCC recurrence. Patients with controlled </w:t>
      </w:r>
      <w:proofErr w:type="spellStart"/>
      <w:r w:rsidRPr="00B35A81">
        <w:rPr>
          <w:rFonts w:asciiTheme="majorBidi" w:hAnsiTheme="majorBidi" w:cstheme="majorBidi"/>
        </w:rPr>
        <w:t>everolimus</w:t>
      </w:r>
      <w:proofErr w:type="spellEnd"/>
      <w:r w:rsidRPr="00B35A81">
        <w:rPr>
          <w:rFonts w:asciiTheme="majorBidi" w:hAnsiTheme="majorBidi" w:cstheme="majorBidi"/>
        </w:rPr>
        <w:t xml:space="preserve"> trough level </w:t>
      </w:r>
      <w:r w:rsidRPr="00B35A81">
        <w:rPr>
          <w:rFonts w:asciiTheme="majorBidi" w:hAnsiTheme="majorBidi" w:cstheme="majorBidi"/>
          <w:lang w:eastAsia="ja-JP"/>
        </w:rPr>
        <w:t>≥</w:t>
      </w:r>
      <w:r w:rsidRPr="00B35A81">
        <w:rPr>
          <w:rFonts w:asciiTheme="majorBidi" w:hAnsiTheme="majorBidi" w:cstheme="majorBidi"/>
        </w:rPr>
        <w:t xml:space="preserve">5 </w:t>
      </w:r>
      <w:proofErr w:type="spellStart"/>
      <w:r w:rsidRPr="00B35A81">
        <w:rPr>
          <w:rFonts w:asciiTheme="majorBidi" w:hAnsiTheme="majorBidi" w:cstheme="majorBidi"/>
        </w:rPr>
        <w:t>ng</w:t>
      </w:r>
      <w:proofErr w:type="spellEnd"/>
      <w:r w:rsidRPr="00B35A81">
        <w:rPr>
          <w:rFonts w:asciiTheme="majorBidi" w:hAnsiTheme="majorBidi" w:cstheme="majorBidi"/>
        </w:rPr>
        <w:t>/ml may</w:t>
      </w:r>
      <w:r w:rsidR="00F13647">
        <w:rPr>
          <w:rFonts w:asciiTheme="majorBidi" w:hAnsiTheme="majorBidi" w:cstheme="majorBidi"/>
        </w:rPr>
        <w:t xml:space="preserve"> get the best survival benefit.</w:t>
      </w:r>
    </w:p>
    <w:p w:rsidR="00C218C2" w:rsidRPr="00B35A81" w:rsidRDefault="00C218C2" w:rsidP="00C218C2">
      <w:pPr>
        <w:rPr>
          <w:rFonts w:asciiTheme="majorBidi" w:hAnsiTheme="majorBidi" w:cstheme="majorBidi"/>
        </w:rPr>
      </w:pPr>
    </w:p>
    <w:p w:rsidR="00E1521E" w:rsidRPr="00B35A81" w:rsidRDefault="00E1521E" w:rsidP="00B35A81">
      <w:pPr>
        <w:jc w:val="both"/>
        <w:rPr>
          <w:rFonts w:asciiTheme="majorBidi" w:hAnsiTheme="majorBidi" w:cstheme="majorBidi"/>
          <w:color w:val="000000"/>
        </w:rPr>
      </w:pPr>
    </w:p>
    <w:p w:rsidR="00B35A81" w:rsidRPr="00B35A81" w:rsidRDefault="00B35A81" w:rsidP="00B35A81">
      <w:pPr>
        <w:jc w:val="both"/>
        <w:rPr>
          <w:rFonts w:asciiTheme="majorBidi" w:hAnsiTheme="majorBidi" w:cstheme="majorBidi"/>
          <w:color w:val="000000"/>
        </w:rPr>
      </w:pPr>
    </w:p>
    <w:p w:rsidR="00B35A81" w:rsidRPr="00C218C2" w:rsidRDefault="00B35A81" w:rsidP="00C218C2">
      <w:pPr>
        <w:rPr>
          <w:rFonts w:asciiTheme="majorBidi" w:hAnsiTheme="majorBidi" w:cstheme="majorBidi"/>
          <w:color w:val="000000"/>
          <w:sz w:val="20"/>
          <w:szCs w:val="20"/>
        </w:rPr>
      </w:pPr>
      <w:r w:rsidRPr="00C218C2">
        <w:rPr>
          <w:rFonts w:asciiTheme="majorBidi" w:hAnsiTheme="majorBidi" w:cstheme="majorBidi"/>
          <w:b/>
          <w:color w:val="000000"/>
          <w:sz w:val="20"/>
          <w:szCs w:val="20"/>
        </w:rPr>
        <w:t>Biography</w:t>
      </w:r>
    </w:p>
    <w:p w:rsidR="00B35A81" w:rsidRPr="00C218C2" w:rsidRDefault="00B35A81" w:rsidP="00B35A81">
      <w:pPr>
        <w:jc w:val="both"/>
        <w:rPr>
          <w:rFonts w:asciiTheme="majorBidi" w:hAnsiTheme="majorBidi" w:cstheme="majorBidi"/>
          <w:color w:val="000000"/>
          <w:sz w:val="20"/>
          <w:szCs w:val="20"/>
        </w:rPr>
      </w:pPr>
      <w:proofErr w:type="spellStart"/>
      <w:r w:rsidRPr="00C218C2">
        <w:rPr>
          <w:rFonts w:asciiTheme="majorBidi" w:hAnsiTheme="majorBidi" w:cstheme="majorBidi"/>
          <w:color w:val="000000"/>
          <w:sz w:val="20"/>
          <w:szCs w:val="20"/>
        </w:rPr>
        <w:t>Faouzi</w:t>
      </w:r>
      <w:proofErr w:type="spellEnd"/>
      <w:r w:rsidRPr="00C218C2">
        <w:rPr>
          <w:rFonts w:asciiTheme="majorBidi" w:hAnsiTheme="majorBidi" w:cstheme="majorBidi"/>
          <w:color w:val="000000"/>
          <w:sz w:val="20"/>
          <w:szCs w:val="20"/>
        </w:rPr>
        <w:t xml:space="preserve"> SALIBA senior author, is an Associate Professor in </w:t>
      </w:r>
      <w:proofErr w:type="spellStart"/>
      <w:r w:rsidRPr="00C218C2">
        <w:rPr>
          <w:rFonts w:asciiTheme="majorBidi" w:hAnsiTheme="majorBidi" w:cstheme="majorBidi"/>
          <w:color w:val="000000"/>
          <w:sz w:val="20"/>
          <w:szCs w:val="20"/>
        </w:rPr>
        <w:t>Hepato</w:t>
      </w:r>
      <w:proofErr w:type="spellEnd"/>
      <w:r w:rsidRPr="00C218C2">
        <w:rPr>
          <w:rFonts w:asciiTheme="majorBidi" w:hAnsiTheme="majorBidi" w:cstheme="majorBidi"/>
          <w:color w:val="000000"/>
          <w:sz w:val="20"/>
          <w:szCs w:val="20"/>
        </w:rPr>
        <w:t>-Gastro-</w:t>
      </w:r>
      <w:proofErr w:type="spellStart"/>
      <w:r w:rsidRPr="00C218C2">
        <w:rPr>
          <w:rFonts w:asciiTheme="majorBidi" w:hAnsiTheme="majorBidi" w:cstheme="majorBidi"/>
          <w:color w:val="000000"/>
          <w:sz w:val="20"/>
          <w:szCs w:val="20"/>
        </w:rPr>
        <w:t>Enterology</w:t>
      </w:r>
      <w:proofErr w:type="spellEnd"/>
      <w:r w:rsidRPr="00C218C2">
        <w:rPr>
          <w:rFonts w:asciiTheme="majorBidi" w:hAnsiTheme="majorBidi" w:cstheme="majorBidi"/>
          <w:color w:val="000000"/>
          <w:sz w:val="20"/>
          <w:szCs w:val="20"/>
        </w:rPr>
        <w:t xml:space="preserve"> at the University of Paris IX, and is in charge of the ICU at the </w:t>
      </w:r>
      <w:proofErr w:type="spellStart"/>
      <w:r w:rsidRPr="00C218C2">
        <w:rPr>
          <w:rFonts w:asciiTheme="majorBidi" w:hAnsiTheme="majorBidi" w:cstheme="majorBidi"/>
          <w:color w:val="000000"/>
          <w:sz w:val="20"/>
          <w:szCs w:val="20"/>
        </w:rPr>
        <w:t>Hepato-Biliary</w:t>
      </w:r>
      <w:proofErr w:type="spellEnd"/>
      <w:r w:rsidRPr="00C218C2">
        <w:rPr>
          <w:rFonts w:asciiTheme="majorBidi" w:hAnsiTheme="majorBidi" w:cstheme="majorBidi"/>
          <w:color w:val="000000"/>
          <w:sz w:val="20"/>
          <w:szCs w:val="20"/>
        </w:rPr>
        <w:t xml:space="preserve"> Centre and Liver Transplant Unit at Paul </w:t>
      </w:r>
      <w:proofErr w:type="spellStart"/>
      <w:r w:rsidRPr="00C218C2">
        <w:rPr>
          <w:rFonts w:asciiTheme="majorBidi" w:hAnsiTheme="majorBidi" w:cstheme="majorBidi"/>
          <w:color w:val="000000"/>
          <w:sz w:val="20"/>
          <w:szCs w:val="20"/>
        </w:rPr>
        <w:t>Brousse</w:t>
      </w:r>
      <w:proofErr w:type="spellEnd"/>
      <w:r w:rsidRPr="00C218C2">
        <w:rPr>
          <w:rFonts w:asciiTheme="majorBidi" w:hAnsiTheme="majorBidi" w:cstheme="majorBidi"/>
          <w:color w:val="000000"/>
          <w:sz w:val="20"/>
          <w:szCs w:val="20"/>
        </w:rPr>
        <w:t xml:space="preserve"> Hospital.</w:t>
      </w:r>
    </w:p>
    <w:p w:rsidR="00B35A81" w:rsidRPr="00C218C2" w:rsidRDefault="00B35A81" w:rsidP="00B35A81">
      <w:pPr>
        <w:jc w:val="both"/>
        <w:rPr>
          <w:rFonts w:asciiTheme="majorBidi" w:hAnsiTheme="majorBidi" w:cstheme="majorBidi"/>
          <w:color w:val="000000"/>
          <w:sz w:val="20"/>
          <w:szCs w:val="20"/>
        </w:rPr>
      </w:pPr>
      <w:r w:rsidRPr="00C218C2">
        <w:rPr>
          <w:rFonts w:asciiTheme="majorBidi" w:hAnsiTheme="majorBidi" w:cstheme="majorBidi"/>
          <w:color w:val="000000"/>
          <w:sz w:val="20"/>
          <w:szCs w:val="20"/>
        </w:rPr>
        <w:t xml:space="preserve">Dr </w:t>
      </w:r>
      <w:proofErr w:type="spellStart"/>
      <w:r w:rsidRPr="00C218C2">
        <w:rPr>
          <w:rFonts w:asciiTheme="majorBidi" w:hAnsiTheme="majorBidi" w:cstheme="majorBidi"/>
          <w:color w:val="000000"/>
          <w:sz w:val="20"/>
          <w:szCs w:val="20"/>
        </w:rPr>
        <w:t>Saliba</w:t>
      </w:r>
      <w:proofErr w:type="spellEnd"/>
      <w:r w:rsidRPr="00C218C2">
        <w:rPr>
          <w:rFonts w:asciiTheme="majorBidi" w:hAnsiTheme="majorBidi" w:cstheme="majorBidi"/>
          <w:color w:val="000000"/>
          <w:sz w:val="20"/>
          <w:szCs w:val="20"/>
        </w:rPr>
        <w:t xml:space="preserve"> has conducted, and participated in several international clinical trials in the fields of transplantation, </w:t>
      </w:r>
      <w:proofErr w:type="spellStart"/>
      <w:r w:rsidRPr="00C218C2">
        <w:rPr>
          <w:rFonts w:asciiTheme="majorBidi" w:hAnsiTheme="majorBidi" w:cstheme="majorBidi"/>
          <w:color w:val="000000"/>
          <w:sz w:val="20"/>
          <w:szCs w:val="20"/>
        </w:rPr>
        <w:t>hepatology</w:t>
      </w:r>
      <w:proofErr w:type="spellEnd"/>
      <w:r w:rsidRPr="00C218C2">
        <w:rPr>
          <w:rFonts w:asciiTheme="majorBidi" w:hAnsiTheme="majorBidi" w:cstheme="majorBidi"/>
          <w:color w:val="000000"/>
          <w:sz w:val="20"/>
          <w:szCs w:val="20"/>
        </w:rPr>
        <w:t xml:space="preserve">, artificial and </w:t>
      </w:r>
      <w:proofErr w:type="spellStart"/>
      <w:r w:rsidRPr="00C218C2">
        <w:rPr>
          <w:rFonts w:asciiTheme="majorBidi" w:hAnsiTheme="majorBidi" w:cstheme="majorBidi"/>
          <w:color w:val="000000"/>
          <w:sz w:val="20"/>
          <w:szCs w:val="20"/>
        </w:rPr>
        <w:t>bioartificial</w:t>
      </w:r>
      <w:proofErr w:type="spellEnd"/>
      <w:r w:rsidRPr="00C218C2">
        <w:rPr>
          <w:rFonts w:asciiTheme="majorBidi" w:hAnsiTheme="majorBidi" w:cstheme="majorBidi"/>
          <w:color w:val="000000"/>
          <w:sz w:val="20"/>
          <w:szCs w:val="20"/>
        </w:rPr>
        <w:t xml:space="preserve"> liver support...</w:t>
      </w:r>
    </w:p>
    <w:p w:rsidR="00B35A81" w:rsidRPr="00C218C2" w:rsidRDefault="00C218C2" w:rsidP="00B35A81">
      <w:pPr>
        <w:jc w:val="both"/>
        <w:rPr>
          <w:rFonts w:asciiTheme="majorBidi" w:hAnsiTheme="majorBidi" w:cstheme="majorBidi"/>
          <w:color w:val="000000"/>
          <w:sz w:val="20"/>
          <w:szCs w:val="20"/>
        </w:rPr>
      </w:pPr>
      <w:r>
        <w:rPr>
          <w:rFonts w:asciiTheme="majorBidi" w:hAnsiTheme="majorBidi" w:cstheme="majorBidi"/>
          <w:noProof/>
          <w:color w:val="000000"/>
          <w:lang w:eastAsia="en-US"/>
        </w:rPr>
        <w:drawing>
          <wp:anchor distT="0" distB="0" distL="114300" distR="114300" simplePos="0" relativeHeight="251666432" behindDoc="0" locked="0" layoutInCell="1" allowOverlap="1">
            <wp:simplePos x="0" y="0"/>
            <wp:positionH relativeFrom="column">
              <wp:posOffset>-3261360</wp:posOffset>
            </wp:positionH>
            <wp:positionV relativeFrom="paragraph">
              <wp:posOffset>3408680</wp:posOffset>
            </wp:positionV>
            <wp:extent cx="2435860" cy="2369820"/>
            <wp:effectExtent l="0" t="0" r="0" b="0"/>
            <wp:wrapTopAndBottom/>
            <wp:docPr id="4" name="Picture 4" descr="C:\Users\LARA\AppData\Local\Microsoft\Windows\INetCache\Content.Word\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LARA\AppData\Local\Microsoft\Windows\INetCache\Content.Word\Picture1.pn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35860" cy="2369820"/>
                    </a:xfrm>
                    <a:prstGeom prst="rect">
                      <a:avLst/>
                    </a:prstGeom>
                    <a:noFill/>
                    <a:ln>
                      <a:noFill/>
                    </a:ln>
                  </pic:spPr>
                </pic:pic>
              </a:graphicData>
            </a:graphic>
          </wp:anchor>
        </w:drawing>
      </w:r>
      <w:r w:rsidR="00B35A81" w:rsidRPr="00C218C2">
        <w:rPr>
          <w:rFonts w:asciiTheme="majorBidi" w:hAnsiTheme="majorBidi" w:cstheme="majorBidi"/>
          <w:color w:val="000000"/>
          <w:sz w:val="20"/>
          <w:szCs w:val="20"/>
        </w:rPr>
        <w:t xml:space="preserve"> He has published over 170 original papers in official and peer-reviewed journals, book chapters and textbooks. He has presented hundreds of papers at conferences and has chaired numerous sessions at international congresses.</w:t>
      </w:r>
    </w:p>
    <w:p w:rsidR="00B35A81" w:rsidRPr="00C218C2" w:rsidRDefault="00B35A81" w:rsidP="00B35A81">
      <w:pPr>
        <w:jc w:val="both"/>
        <w:rPr>
          <w:rFonts w:asciiTheme="majorBidi" w:hAnsiTheme="majorBidi" w:cstheme="majorBidi"/>
          <w:color w:val="000000"/>
          <w:sz w:val="20"/>
          <w:szCs w:val="20"/>
        </w:rPr>
      </w:pPr>
    </w:p>
    <w:p w:rsidR="00B35A81" w:rsidRPr="00C218C2" w:rsidRDefault="00B35A81" w:rsidP="00B35A81">
      <w:pPr>
        <w:jc w:val="both"/>
        <w:rPr>
          <w:rFonts w:asciiTheme="majorBidi" w:hAnsiTheme="majorBidi" w:cstheme="majorBidi"/>
          <w:color w:val="000000"/>
          <w:sz w:val="20"/>
          <w:szCs w:val="20"/>
        </w:rPr>
      </w:pPr>
      <w:proofErr w:type="spellStart"/>
      <w:r w:rsidRPr="00C218C2">
        <w:rPr>
          <w:rFonts w:asciiTheme="majorBidi" w:hAnsiTheme="majorBidi" w:cstheme="majorBidi"/>
          <w:color w:val="000000"/>
          <w:sz w:val="20"/>
          <w:szCs w:val="20"/>
        </w:rPr>
        <w:t>Aline</w:t>
      </w:r>
      <w:proofErr w:type="spellEnd"/>
      <w:r w:rsidRPr="00C218C2">
        <w:rPr>
          <w:rFonts w:asciiTheme="majorBidi" w:hAnsiTheme="majorBidi" w:cstheme="majorBidi"/>
          <w:color w:val="000000"/>
          <w:sz w:val="20"/>
          <w:szCs w:val="20"/>
        </w:rPr>
        <w:t xml:space="preserve"> YOUNES, is Doctor in </w:t>
      </w:r>
      <w:proofErr w:type="spellStart"/>
      <w:r w:rsidRPr="00C218C2">
        <w:rPr>
          <w:rFonts w:asciiTheme="majorBidi" w:hAnsiTheme="majorBidi" w:cstheme="majorBidi"/>
          <w:color w:val="000000"/>
          <w:sz w:val="20"/>
          <w:szCs w:val="20"/>
        </w:rPr>
        <w:t>Hepato</w:t>
      </w:r>
      <w:proofErr w:type="spellEnd"/>
      <w:r w:rsidRPr="00C218C2">
        <w:rPr>
          <w:rFonts w:asciiTheme="majorBidi" w:hAnsiTheme="majorBidi" w:cstheme="majorBidi"/>
          <w:color w:val="000000"/>
          <w:sz w:val="20"/>
          <w:szCs w:val="20"/>
        </w:rPr>
        <w:t>-Gastro-</w:t>
      </w:r>
      <w:proofErr w:type="spellStart"/>
      <w:r w:rsidRPr="00C218C2">
        <w:rPr>
          <w:rFonts w:asciiTheme="majorBidi" w:hAnsiTheme="majorBidi" w:cstheme="majorBidi"/>
          <w:color w:val="000000"/>
          <w:sz w:val="20"/>
          <w:szCs w:val="20"/>
        </w:rPr>
        <w:t>Enterology</w:t>
      </w:r>
      <w:proofErr w:type="spellEnd"/>
      <w:r w:rsidRPr="00C218C2">
        <w:rPr>
          <w:rFonts w:asciiTheme="majorBidi" w:hAnsiTheme="majorBidi" w:cstheme="majorBidi"/>
          <w:color w:val="000000"/>
          <w:sz w:val="20"/>
          <w:szCs w:val="20"/>
        </w:rPr>
        <w:t xml:space="preserve"> graduated at </w:t>
      </w:r>
      <w:proofErr w:type="spellStart"/>
      <w:r w:rsidRPr="00C218C2">
        <w:rPr>
          <w:rFonts w:asciiTheme="majorBidi" w:hAnsiTheme="majorBidi" w:cstheme="majorBidi"/>
          <w:color w:val="000000"/>
          <w:sz w:val="20"/>
          <w:szCs w:val="20"/>
        </w:rPr>
        <w:t>he</w:t>
      </w:r>
      <w:proofErr w:type="spellEnd"/>
      <w:r w:rsidRPr="00C218C2">
        <w:rPr>
          <w:rFonts w:asciiTheme="majorBidi" w:hAnsiTheme="majorBidi" w:cstheme="majorBidi"/>
          <w:color w:val="000000"/>
          <w:sz w:val="20"/>
          <w:szCs w:val="20"/>
        </w:rPr>
        <w:t xml:space="preserve"> Lebanese University and worked as a fellow at the </w:t>
      </w:r>
      <w:proofErr w:type="spellStart"/>
      <w:r w:rsidRPr="00C218C2">
        <w:rPr>
          <w:rFonts w:asciiTheme="majorBidi" w:hAnsiTheme="majorBidi" w:cstheme="majorBidi"/>
          <w:color w:val="000000"/>
          <w:sz w:val="20"/>
          <w:szCs w:val="20"/>
        </w:rPr>
        <w:t>Hepato-Biliary</w:t>
      </w:r>
      <w:proofErr w:type="spellEnd"/>
      <w:r w:rsidRPr="00C218C2">
        <w:rPr>
          <w:rFonts w:asciiTheme="majorBidi" w:hAnsiTheme="majorBidi" w:cstheme="majorBidi"/>
          <w:color w:val="000000"/>
          <w:sz w:val="20"/>
          <w:szCs w:val="20"/>
        </w:rPr>
        <w:t xml:space="preserve"> Centre and Liver Transplant Unit at Paul </w:t>
      </w:r>
      <w:proofErr w:type="spellStart"/>
      <w:r w:rsidRPr="00C218C2">
        <w:rPr>
          <w:rFonts w:asciiTheme="majorBidi" w:hAnsiTheme="majorBidi" w:cstheme="majorBidi"/>
          <w:color w:val="000000"/>
          <w:sz w:val="20"/>
          <w:szCs w:val="20"/>
        </w:rPr>
        <w:t>Brousse</w:t>
      </w:r>
      <w:proofErr w:type="spellEnd"/>
      <w:r w:rsidRPr="00C218C2">
        <w:rPr>
          <w:rFonts w:asciiTheme="majorBidi" w:hAnsiTheme="majorBidi" w:cstheme="majorBidi"/>
          <w:color w:val="000000"/>
          <w:sz w:val="20"/>
          <w:szCs w:val="20"/>
        </w:rPr>
        <w:t xml:space="preserve"> Hospital.</w:t>
      </w:r>
    </w:p>
    <w:p w:rsidR="00B35A81" w:rsidRPr="00C218C2" w:rsidRDefault="00B35A81" w:rsidP="00B35A81">
      <w:pPr>
        <w:jc w:val="both"/>
        <w:rPr>
          <w:rFonts w:asciiTheme="majorBidi" w:hAnsiTheme="majorBidi" w:cstheme="majorBidi"/>
          <w:color w:val="000000"/>
          <w:sz w:val="20"/>
          <w:szCs w:val="20"/>
        </w:rPr>
      </w:pPr>
    </w:p>
    <w:p w:rsidR="00B35A81" w:rsidRPr="00B35A81" w:rsidRDefault="00B35A81" w:rsidP="00B35A81">
      <w:pPr>
        <w:jc w:val="both"/>
        <w:rPr>
          <w:rFonts w:asciiTheme="majorBidi" w:hAnsiTheme="majorBidi" w:cstheme="majorBidi"/>
          <w:color w:val="000000"/>
        </w:rPr>
      </w:pPr>
      <w:r w:rsidRPr="00C218C2">
        <w:rPr>
          <w:rFonts w:asciiTheme="majorBidi" w:hAnsiTheme="majorBidi" w:cstheme="majorBidi"/>
          <w:color w:val="000000"/>
          <w:sz w:val="20"/>
          <w:szCs w:val="20"/>
        </w:rPr>
        <w:t xml:space="preserve">The </w:t>
      </w:r>
      <w:proofErr w:type="spellStart"/>
      <w:r w:rsidRPr="00C218C2">
        <w:rPr>
          <w:rFonts w:asciiTheme="majorBidi" w:hAnsiTheme="majorBidi" w:cstheme="majorBidi"/>
          <w:color w:val="000000"/>
          <w:sz w:val="20"/>
          <w:szCs w:val="20"/>
        </w:rPr>
        <w:t>Hepato-Biliary</w:t>
      </w:r>
      <w:proofErr w:type="spellEnd"/>
      <w:r w:rsidRPr="00C218C2">
        <w:rPr>
          <w:rFonts w:asciiTheme="majorBidi" w:hAnsiTheme="majorBidi" w:cstheme="majorBidi"/>
          <w:color w:val="000000"/>
          <w:sz w:val="20"/>
          <w:szCs w:val="20"/>
        </w:rPr>
        <w:t xml:space="preserve"> centre is the first liver </w:t>
      </w:r>
      <w:proofErr w:type="gramStart"/>
      <w:r w:rsidRPr="00C218C2">
        <w:rPr>
          <w:rFonts w:asciiTheme="majorBidi" w:hAnsiTheme="majorBidi" w:cstheme="majorBidi"/>
          <w:color w:val="000000"/>
          <w:sz w:val="20"/>
          <w:szCs w:val="20"/>
        </w:rPr>
        <w:t>transplant centre</w:t>
      </w:r>
      <w:proofErr w:type="gramEnd"/>
      <w:r w:rsidRPr="00C218C2">
        <w:rPr>
          <w:rFonts w:asciiTheme="majorBidi" w:hAnsiTheme="majorBidi" w:cstheme="majorBidi"/>
          <w:color w:val="000000"/>
          <w:sz w:val="20"/>
          <w:szCs w:val="20"/>
        </w:rPr>
        <w:t xml:space="preserve"> in France and the third in Europe, performing more than 150 liver</w:t>
      </w:r>
      <w:r w:rsidRPr="00B35A81">
        <w:rPr>
          <w:rFonts w:asciiTheme="majorBidi" w:hAnsiTheme="majorBidi" w:cstheme="majorBidi"/>
          <w:color w:val="000000"/>
        </w:rPr>
        <w:t xml:space="preserve"> transplants per year and is a reference centre in this field.</w:t>
      </w:r>
    </w:p>
    <w:p w:rsidR="00F13647" w:rsidRDefault="00F13647" w:rsidP="00B35A81">
      <w:pPr>
        <w:jc w:val="both"/>
        <w:rPr>
          <w:rFonts w:asciiTheme="majorBidi" w:hAnsiTheme="majorBidi" w:cstheme="majorBidi"/>
          <w:color w:val="000000"/>
        </w:rPr>
        <w:sectPr w:rsidR="00F13647" w:rsidSect="00C218C2">
          <w:type w:val="continuous"/>
          <w:pgSz w:w="11900" w:h="16840"/>
          <w:pgMar w:top="720" w:right="720" w:bottom="426" w:left="720" w:header="708" w:footer="708" w:gutter="0"/>
          <w:cols w:num="2" w:space="708"/>
          <w:docGrid w:linePitch="360"/>
        </w:sectPr>
      </w:pPr>
    </w:p>
    <w:p w:rsidR="00F13647" w:rsidRPr="00B35A81" w:rsidRDefault="00F13647" w:rsidP="00F13647">
      <w:pPr>
        <w:jc w:val="both"/>
        <w:rPr>
          <w:rFonts w:asciiTheme="majorBidi" w:hAnsiTheme="majorBidi" w:cstheme="majorBidi"/>
          <w:b/>
        </w:rPr>
      </w:pPr>
      <w:r w:rsidRPr="00B35A81">
        <w:rPr>
          <w:rFonts w:asciiTheme="majorBidi" w:hAnsiTheme="majorBidi" w:cstheme="majorBidi"/>
          <w:b/>
        </w:rPr>
        <w:t>References</w:t>
      </w:r>
    </w:p>
    <w:p w:rsidR="00F13647" w:rsidRPr="00B35A81" w:rsidRDefault="00F13647" w:rsidP="00F13647">
      <w:pPr>
        <w:pStyle w:val="ListParagraph"/>
        <w:numPr>
          <w:ilvl w:val="0"/>
          <w:numId w:val="1"/>
        </w:numPr>
        <w:autoSpaceDE w:val="0"/>
        <w:autoSpaceDN w:val="0"/>
        <w:adjustRightInd w:val="0"/>
        <w:rPr>
          <w:rFonts w:asciiTheme="majorBidi" w:hAnsiTheme="majorBidi" w:cstheme="majorBidi"/>
          <w:noProof/>
        </w:rPr>
      </w:pPr>
      <w:r w:rsidRPr="00B35A81">
        <w:rPr>
          <w:rFonts w:asciiTheme="majorBidi" w:hAnsiTheme="majorBidi" w:cstheme="majorBidi"/>
          <w:noProof/>
        </w:rPr>
        <w:t xml:space="preserve">Cholongitas E, Mamou C, Rodríguez-Castro KI, Burra P. Mammalian target of rapamycin inhibitors are associated with lower rates of hepatocellular carcinoma recurrence after liver transplantation: A systematic review. Transpl Int 2014;27:1039–49. </w:t>
      </w:r>
    </w:p>
    <w:p w:rsidR="00F13647" w:rsidRPr="00B35A81" w:rsidRDefault="00F13647" w:rsidP="00F13647">
      <w:pPr>
        <w:pStyle w:val="ListParagraph"/>
        <w:numPr>
          <w:ilvl w:val="0"/>
          <w:numId w:val="1"/>
        </w:numPr>
        <w:autoSpaceDE w:val="0"/>
        <w:autoSpaceDN w:val="0"/>
        <w:adjustRightInd w:val="0"/>
        <w:rPr>
          <w:rFonts w:asciiTheme="majorBidi" w:hAnsiTheme="majorBidi" w:cstheme="majorBidi"/>
          <w:noProof/>
        </w:rPr>
      </w:pPr>
      <w:r w:rsidRPr="00B35A81">
        <w:rPr>
          <w:rFonts w:asciiTheme="majorBidi" w:hAnsiTheme="majorBidi" w:cstheme="majorBidi"/>
          <w:noProof/>
          <w:lang w:val="fr-FR"/>
        </w:rPr>
        <w:t xml:space="preserve">De Simone P, Crocetti L, Pezzati D, Bargellini I, Ghinolfi D, Carrai P, et al. </w:t>
      </w:r>
      <w:r w:rsidRPr="00B35A81">
        <w:rPr>
          <w:rFonts w:asciiTheme="majorBidi" w:hAnsiTheme="majorBidi" w:cstheme="majorBidi"/>
          <w:noProof/>
        </w:rPr>
        <w:t xml:space="preserve">Efficacy and safety of combination therapy with everolimus and sorafenib for recurrence of hepatocellular carcinoma after liver transplantation. Transplant Proc 2014;46:241–4. </w:t>
      </w:r>
    </w:p>
    <w:p w:rsidR="00F13647" w:rsidRPr="00B35A81" w:rsidRDefault="00F13647" w:rsidP="00F13647">
      <w:pPr>
        <w:pStyle w:val="ListParagraph"/>
        <w:numPr>
          <w:ilvl w:val="0"/>
          <w:numId w:val="1"/>
        </w:numPr>
        <w:autoSpaceDE w:val="0"/>
        <w:autoSpaceDN w:val="0"/>
        <w:adjustRightInd w:val="0"/>
        <w:rPr>
          <w:rFonts w:asciiTheme="majorBidi" w:hAnsiTheme="majorBidi" w:cstheme="majorBidi"/>
          <w:noProof/>
        </w:rPr>
      </w:pPr>
      <w:r w:rsidRPr="00B35A81">
        <w:rPr>
          <w:rFonts w:asciiTheme="majorBidi" w:hAnsiTheme="majorBidi" w:cstheme="majorBidi"/>
          <w:noProof/>
        </w:rPr>
        <w:lastRenderedPageBreak/>
        <w:t xml:space="preserve">Gedaly R, Angulo P, Hundley J, Daily MF, Chen C, Koch A, et al. PI-103 and sorafenib inhibit hepatocellular carcinoma cell proliferation by blocking Ras/Raf/MAPK and PI3K/AKT/mTOR pathways. Anticancer Res 2010;30:4951–8. </w:t>
      </w:r>
    </w:p>
    <w:p w:rsidR="00F13647" w:rsidRPr="00B35A81" w:rsidRDefault="00F13647" w:rsidP="00F13647">
      <w:pPr>
        <w:pStyle w:val="ListParagraph"/>
        <w:numPr>
          <w:ilvl w:val="0"/>
          <w:numId w:val="1"/>
        </w:numPr>
        <w:autoSpaceDE w:val="0"/>
        <w:autoSpaceDN w:val="0"/>
        <w:adjustRightInd w:val="0"/>
        <w:rPr>
          <w:rFonts w:asciiTheme="majorBidi" w:hAnsiTheme="majorBidi" w:cstheme="majorBidi"/>
          <w:noProof/>
        </w:rPr>
      </w:pPr>
      <w:r w:rsidRPr="00B35A81">
        <w:rPr>
          <w:rFonts w:asciiTheme="majorBidi" w:hAnsiTheme="majorBidi" w:cstheme="majorBidi"/>
          <w:noProof/>
          <w:lang w:val="fr-FR"/>
        </w:rPr>
        <w:t xml:space="preserve">Masuda M, Chen W-Y, Miyanaga A, Nakamura Y, Kawasaki K, Sakuma T, et al. </w:t>
      </w:r>
      <w:r w:rsidRPr="00B35A81">
        <w:rPr>
          <w:rFonts w:asciiTheme="majorBidi" w:hAnsiTheme="majorBidi" w:cstheme="majorBidi"/>
          <w:noProof/>
        </w:rPr>
        <w:t xml:space="preserve">Alternative Mammalian Target of Rapamycin (mTOR) Signal Activation in Sorafenib-resistant Hepatocellular Carcinoma Cells Revealed by Array-based Pathway Profiling. Mol Cell Proteomics 2014;13:1429–38. </w:t>
      </w:r>
    </w:p>
    <w:p w:rsidR="00F13647" w:rsidRPr="00B35A81" w:rsidRDefault="00F13647" w:rsidP="00F13647">
      <w:pPr>
        <w:pStyle w:val="ListParagraph"/>
        <w:numPr>
          <w:ilvl w:val="0"/>
          <w:numId w:val="1"/>
        </w:numPr>
        <w:autoSpaceDE w:val="0"/>
        <w:autoSpaceDN w:val="0"/>
        <w:adjustRightInd w:val="0"/>
        <w:rPr>
          <w:rFonts w:asciiTheme="majorBidi" w:hAnsiTheme="majorBidi" w:cstheme="majorBidi"/>
          <w:noProof/>
        </w:rPr>
      </w:pPr>
      <w:r w:rsidRPr="00B35A81">
        <w:rPr>
          <w:rFonts w:asciiTheme="majorBidi" w:hAnsiTheme="majorBidi" w:cstheme="majorBidi"/>
          <w:noProof/>
          <w:lang w:val="fr-FR"/>
        </w:rPr>
        <w:t xml:space="preserve">Zavaglia C, Airoldi A, Mancuso A, Vangeli M, Viganò R, Cordone G, et al. </w:t>
      </w:r>
      <w:r w:rsidRPr="00B35A81">
        <w:rPr>
          <w:rFonts w:asciiTheme="majorBidi" w:hAnsiTheme="majorBidi" w:cstheme="majorBidi"/>
          <w:noProof/>
        </w:rPr>
        <w:t>Adverse events affect sorafenib efficacy in patients with recurrent hepatocellular carcinoma after liver transplantation: experience at a single center and review of the literature. Eur J Gastroenterol Hepatol 2013;25:180–6.</w:t>
      </w:r>
    </w:p>
    <w:p w:rsidR="00B35A81" w:rsidRPr="00B35A81" w:rsidRDefault="00B35A81" w:rsidP="00B35A81">
      <w:pPr>
        <w:jc w:val="both"/>
        <w:rPr>
          <w:rFonts w:asciiTheme="majorBidi" w:hAnsiTheme="majorBidi" w:cstheme="majorBidi"/>
          <w:color w:val="000000"/>
        </w:rPr>
      </w:pPr>
      <w:bookmarkStart w:id="0" w:name="_GoBack"/>
      <w:bookmarkEnd w:id="0"/>
    </w:p>
    <w:sectPr w:rsidR="00B35A81" w:rsidRPr="00B35A81" w:rsidSect="00C218C2">
      <w:type w:val="continuous"/>
      <w:pgSz w:w="11900" w:h="16840"/>
      <w:pgMar w:top="284"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Yu Mincho">
    <w:altName w:val="Arial Unicode MS"/>
    <w:charset w:val="80"/>
    <w:family w:val="roman"/>
    <w:pitch w:val="variable"/>
    <w:sig w:usb0="800002E7" w:usb1="2AC7FCF0"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1C404B"/>
    <w:multiLevelType w:val="hybridMultilevel"/>
    <w:tmpl w:val="89725DC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characterSpacingControl w:val="doNotCompress"/>
  <w:compat>
    <w:useFELayout/>
  </w:compat>
  <w:rsids>
    <w:rsidRoot w:val="005630B0"/>
    <w:rsid w:val="00161281"/>
    <w:rsid w:val="0028035C"/>
    <w:rsid w:val="00425655"/>
    <w:rsid w:val="005630B0"/>
    <w:rsid w:val="006472FF"/>
    <w:rsid w:val="00767822"/>
    <w:rsid w:val="0078581C"/>
    <w:rsid w:val="009E136B"/>
    <w:rsid w:val="00AB354A"/>
    <w:rsid w:val="00AC4F79"/>
    <w:rsid w:val="00B35A81"/>
    <w:rsid w:val="00C218C2"/>
    <w:rsid w:val="00E1521E"/>
    <w:rsid w:val="00E23966"/>
    <w:rsid w:val="00EC078A"/>
    <w:rsid w:val="00EE2F74"/>
    <w:rsid w:val="00F1364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color w:val="000000"/>
        <w:sz w:val="22"/>
        <w:szCs w:val="22"/>
        <w:lang w:val="en-GB"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0B0"/>
    <w:rPr>
      <w:rFonts w:eastAsia="Yu Mincho"/>
      <w:color w:val="auto"/>
      <w:sz w:val="24"/>
      <w:szCs w:val="24"/>
      <w:lang w:val="en-US"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21E"/>
    <w:pPr>
      <w:ind w:left="720"/>
      <w:contextualSpacing/>
    </w:pPr>
  </w:style>
  <w:style w:type="paragraph" w:styleId="BalloonText">
    <w:name w:val="Balloon Text"/>
    <w:basedOn w:val="Normal"/>
    <w:link w:val="BalloonTextChar"/>
    <w:uiPriority w:val="99"/>
    <w:semiHidden/>
    <w:unhideWhenUsed/>
    <w:rsid w:val="00EE2F74"/>
    <w:rPr>
      <w:rFonts w:ascii="Tahoma" w:hAnsi="Tahoma" w:cs="Tahoma"/>
      <w:sz w:val="16"/>
      <w:szCs w:val="16"/>
    </w:rPr>
  </w:style>
  <w:style w:type="character" w:customStyle="1" w:styleId="BalloonTextChar">
    <w:name w:val="Balloon Text Char"/>
    <w:basedOn w:val="DefaultParagraphFont"/>
    <w:link w:val="BalloonText"/>
    <w:uiPriority w:val="99"/>
    <w:semiHidden/>
    <w:rsid w:val="00EE2F74"/>
    <w:rPr>
      <w:rFonts w:ascii="Tahoma" w:eastAsia="Yu Mincho" w:hAnsi="Tahoma" w:cs="Tahoma"/>
      <w:color w:val="auto"/>
      <w:sz w:val="16"/>
      <w:szCs w:val="16"/>
      <w:lang w:val="en-US" w:eastAsia="fr-FR"/>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CHB</Company>
  <LinksUpToDate>false</LinksUpToDate>
  <CharactersWithSpaces>4458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Faouzi Saliba</dc:creator>
  <cp:lastModifiedBy>LARA</cp:lastModifiedBy>
  <cp:revision>2</cp:revision>
  <dcterms:created xsi:type="dcterms:W3CDTF">2018-08-02T12:16:00Z</dcterms:created>
  <dcterms:modified xsi:type="dcterms:W3CDTF">2018-08-02T12:16:00Z</dcterms:modified>
</cp:coreProperties>
</file>