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0335FD" w:rsidP="00494130">
      <w:pPr>
        <w:pStyle w:val="Heading1"/>
        <w:spacing w:before="170"/>
        <w:ind w:left="0"/>
      </w:pPr>
      <w:r>
        <w:rPr>
          <w:color w:val="337AB7"/>
        </w:rPr>
        <w:t xml:space="preserve">Pancreatic cysts from diagnosis to management: challenges and updates </w:t>
      </w:r>
    </w:p>
    <w:p w:rsidR="000335FD" w:rsidRDefault="000335FD" w:rsidP="005973B9">
      <w:pPr>
        <w:pStyle w:val="BodyText"/>
        <w:spacing w:before="73" w:line="198" w:lineRule="exact"/>
        <w:ind w:left="100" w:right="5987"/>
        <w:rPr>
          <w:rFonts w:ascii="Arial"/>
        </w:rPr>
      </w:pPr>
      <w:r>
        <w:rPr>
          <w:rFonts w:ascii="Arial"/>
        </w:rPr>
        <w:t xml:space="preserve">Emad S. Aljahdli, MD. </w:t>
      </w:r>
    </w:p>
    <w:p w:rsidR="005973B9" w:rsidRDefault="000335FD" w:rsidP="005973B9">
      <w:pPr>
        <w:pStyle w:val="BodyText"/>
        <w:spacing w:before="73" w:line="198" w:lineRule="exact"/>
        <w:ind w:left="100" w:right="5987"/>
        <w:rPr>
          <w:rFonts w:ascii="Arial"/>
        </w:rPr>
      </w:pPr>
      <w:r>
        <w:rPr>
          <w:rFonts w:ascii="Arial"/>
        </w:rPr>
        <w:t>King Abdul Aziz University, Saudi Arabia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0335FD" w:rsidRPr="000335FD" w:rsidRDefault="00A9710C">
      <w:pPr>
        <w:pStyle w:val="Heading3"/>
        <w:spacing w:before="147"/>
        <w:jc w:val="both"/>
        <w:rPr>
          <w:color w:val="BF5A14"/>
        </w:rPr>
      </w:pPr>
      <w:r>
        <w:rPr>
          <w:color w:val="BF5A14"/>
        </w:rPr>
        <w:t>Abstract</w:t>
      </w:r>
      <w:r w:rsidR="00404E5B">
        <w:rPr>
          <w:color w:val="BF5A14"/>
        </w:rPr>
        <w:t xml:space="preserve"> (300 word limit)</w:t>
      </w:r>
    </w:p>
    <w:p w:rsidR="00C240AD" w:rsidRDefault="00C240AD" w:rsidP="00C240AD">
      <w:pPr>
        <w:pStyle w:val="Heading3"/>
        <w:spacing w:before="74"/>
        <w:jc w:val="both"/>
        <w:rPr>
          <w:rFonts w:ascii="Tw Cen MT" w:eastAsiaTheme="minorHAnsi" w:hAnsi="Tw Cen MT" w:cs="Tw Cen MT"/>
          <w:b w:val="0"/>
          <w:bCs w:val="0"/>
          <w:color w:val="000000"/>
          <w:sz w:val="18"/>
          <w:szCs w:val="18"/>
        </w:rPr>
      </w:pPr>
      <w:r w:rsidRPr="00C240AD">
        <w:rPr>
          <w:rFonts w:ascii="Tw Cen MT" w:eastAsiaTheme="minorHAnsi" w:hAnsi="Tw Cen MT" w:cs="Tw Cen MT"/>
          <w:b w:val="0"/>
          <w:bCs w:val="0"/>
          <w:color w:val="000000"/>
          <w:sz w:val="18"/>
          <w:szCs w:val="18"/>
        </w:rPr>
        <w:t xml:space="preserve">Cystic pancreatic neoplasms are being found with increasing prevalence, especially in elderly asymptomatic individuals. The overall risk of malignancy is very low. Associated with a significant degree of anxiety and further medical investigation due to concerns about malignancy. The increasing numbers of cases we are seeing is in part related to the increased awareness of their existence. Increased use of cross-sectional imaging (CT and MRI), which had led to accidental discovery of many pancreatic cysts.  Nonetheless, because of the known malignant potential of this diagnosis, their identification generates anxiety, need for subsequent imaging, and sometimes invasive testing or </w:t>
      </w:r>
      <w:r>
        <w:rPr>
          <w:rFonts w:ascii="Tw Cen MT" w:eastAsiaTheme="minorHAnsi" w:hAnsi="Tw Cen MT" w:cs="Tw Cen MT"/>
          <w:b w:val="0"/>
          <w:bCs w:val="0"/>
          <w:color w:val="000000"/>
          <w:sz w:val="18"/>
          <w:szCs w:val="18"/>
        </w:rPr>
        <w:t xml:space="preserve">surgery. In this presentation, </w:t>
      </w:r>
      <w:r w:rsidRPr="00C240AD">
        <w:rPr>
          <w:rFonts w:ascii="Tw Cen MT" w:eastAsiaTheme="minorHAnsi" w:hAnsi="Tw Cen MT" w:cs="Tw Cen MT"/>
          <w:b w:val="0"/>
          <w:bCs w:val="0"/>
          <w:color w:val="000000"/>
          <w:sz w:val="18"/>
          <w:szCs w:val="18"/>
        </w:rPr>
        <w:t>will discuss the different types of pancreatic cysts and the risk of developing pancreatic cancer in each of them. Also, will discuss the current diagnostic modalities and management approach.</w:t>
      </w:r>
      <w:r>
        <w:rPr>
          <w:rFonts w:ascii="Tw Cen MT" w:eastAsiaTheme="minorHAnsi" w:hAnsi="Tw Cen MT" w:cs="Tw Cen MT"/>
          <w:b w:val="0"/>
          <w:bCs w:val="0"/>
          <w:color w:val="000000"/>
          <w:sz w:val="18"/>
          <w:szCs w:val="18"/>
        </w:rPr>
        <w:t xml:space="preserve"> T</w:t>
      </w:r>
      <w:r w:rsidRPr="00C240AD">
        <w:rPr>
          <w:rFonts w:ascii="Tw Cen MT" w:eastAsiaTheme="minorHAnsi" w:hAnsi="Tw Cen MT" w:cs="Tw Cen MT"/>
          <w:b w:val="0"/>
          <w:bCs w:val="0"/>
          <w:color w:val="000000"/>
          <w:sz w:val="18"/>
          <w:szCs w:val="18"/>
        </w:rPr>
        <w:t xml:space="preserve">he presentation will </w:t>
      </w:r>
      <w:r>
        <w:rPr>
          <w:rFonts w:ascii="Tw Cen MT" w:eastAsiaTheme="minorHAnsi" w:hAnsi="Tw Cen MT" w:cs="Tw Cen MT"/>
          <w:b w:val="0"/>
          <w:bCs w:val="0"/>
          <w:color w:val="000000"/>
          <w:sz w:val="18"/>
          <w:szCs w:val="18"/>
        </w:rPr>
        <w:t xml:space="preserve">also </w:t>
      </w:r>
      <w:r w:rsidRPr="00C240AD">
        <w:rPr>
          <w:rFonts w:ascii="Tw Cen MT" w:eastAsiaTheme="minorHAnsi" w:hAnsi="Tw Cen MT" w:cs="Tw Cen MT"/>
          <w:b w:val="0"/>
          <w:bCs w:val="0"/>
          <w:color w:val="000000"/>
          <w:sz w:val="18"/>
          <w:szCs w:val="18"/>
        </w:rPr>
        <w:t>shed light on ongoing research and clinical trials in improving the diagnostic yield that will help to t</w:t>
      </w:r>
      <w:r>
        <w:rPr>
          <w:rFonts w:ascii="Tw Cen MT" w:eastAsiaTheme="minorHAnsi" w:hAnsi="Tw Cen MT" w:cs="Tw Cen MT"/>
          <w:b w:val="0"/>
          <w:bCs w:val="0"/>
          <w:color w:val="000000"/>
          <w:sz w:val="18"/>
          <w:szCs w:val="18"/>
        </w:rPr>
        <w:t xml:space="preserve">reat patients better y avoiding </w:t>
      </w:r>
      <w:r w:rsidRPr="00C240AD">
        <w:rPr>
          <w:rFonts w:ascii="Tw Cen MT" w:eastAsiaTheme="minorHAnsi" w:hAnsi="Tw Cen MT" w:cs="Tw Cen MT"/>
          <w:b w:val="0"/>
          <w:bCs w:val="0"/>
          <w:color w:val="000000"/>
          <w:sz w:val="18"/>
          <w:szCs w:val="18"/>
        </w:rPr>
        <w:t xml:space="preserve">unnecessary surgery. </w:t>
      </w:r>
    </w:p>
    <w:p w:rsidR="00C240AD" w:rsidRDefault="00C240AD" w:rsidP="00C240AD">
      <w:pPr>
        <w:pStyle w:val="Heading3"/>
        <w:spacing w:before="74"/>
        <w:jc w:val="both"/>
        <w:rPr>
          <w:rFonts w:ascii="Tw Cen MT" w:eastAsiaTheme="minorHAnsi" w:hAnsi="Tw Cen MT" w:cs="Tw Cen MT"/>
          <w:b w:val="0"/>
          <w:bCs w:val="0"/>
          <w:color w:val="000000"/>
          <w:sz w:val="18"/>
          <w:szCs w:val="18"/>
        </w:rPr>
      </w:pPr>
    </w:p>
    <w:p w:rsidR="00C240AD" w:rsidRDefault="00C240AD" w:rsidP="00C240AD">
      <w:pPr>
        <w:pStyle w:val="Heading3"/>
        <w:spacing w:before="74"/>
        <w:jc w:val="both"/>
        <w:rPr>
          <w:rFonts w:ascii="Tw Cen MT" w:eastAsiaTheme="minorHAnsi" w:hAnsi="Tw Cen MT" w:cs="Tw Cen MT"/>
          <w:b w:val="0"/>
          <w:bCs w:val="0"/>
          <w:color w:val="000000"/>
          <w:sz w:val="18"/>
          <w:szCs w:val="18"/>
        </w:rPr>
      </w:pPr>
    </w:p>
    <w:p w:rsidR="00C240AD" w:rsidRDefault="00C240AD" w:rsidP="00C240AD">
      <w:pPr>
        <w:pStyle w:val="Heading3"/>
        <w:spacing w:before="74"/>
        <w:jc w:val="both"/>
        <w:rPr>
          <w:rFonts w:ascii="Tw Cen MT" w:eastAsiaTheme="minorHAnsi" w:hAnsi="Tw Cen MT" w:cs="Tw Cen MT"/>
          <w:b w:val="0"/>
          <w:bCs w:val="0"/>
          <w:color w:val="000000"/>
          <w:sz w:val="18"/>
          <w:szCs w:val="18"/>
        </w:rPr>
      </w:pPr>
    </w:p>
    <w:p w:rsidR="00C240AD" w:rsidRDefault="00C240AD" w:rsidP="00C240AD">
      <w:pPr>
        <w:pStyle w:val="Heading3"/>
        <w:spacing w:before="74"/>
        <w:jc w:val="both"/>
        <w:rPr>
          <w:rFonts w:ascii="Tw Cen MT" w:eastAsiaTheme="minorHAnsi" w:hAnsi="Tw Cen MT" w:cs="Tw Cen MT"/>
          <w:b w:val="0"/>
          <w:bCs w:val="0"/>
          <w:color w:val="000000"/>
          <w:sz w:val="18"/>
          <w:szCs w:val="18"/>
        </w:rPr>
      </w:pPr>
      <w:bookmarkStart w:id="0" w:name="_GoBack"/>
      <w:bookmarkEnd w:id="0"/>
    </w:p>
    <w:p w:rsidR="00C240AD" w:rsidRDefault="00C240AD" w:rsidP="00C240AD">
      <w:pPr>
        <w:pStyle w:val="Heading3"/>
        <w:spacing w:before="74"/>
        <w:jc w:val="both"/>
        <w:rPr>
          <w:rFonts w:ascii="Tw Cen MT" w:eastAsiaTheme="minorHAnsi" w:hAnsi="Tw Cen MT" w:cs="Tw Cen MT"/>
          <w:b w:val="0"/>
          <w:bCs w:val="0"/>
          <w:color w:val="000000"/>
          <w:sz w:val="18"/>
          <w:szCs w:val="18"/>
        </w:rPr>
      </w:pPr>
    </w:p>
    <w:p w:rsidR="00C240AD" w:rsidRDefault="00C240AD" w:rsidP="00C240AD">
      <w:pPr>
        <w:pStyle w:val="Heading3"/>
        <w:spacing w:before="74"/>
        <w:jc w:val="both"/>
        <w:rPr>
          <w:rFonts w:ascii="Tw Cen MT" w:eastAsiaTheme="minorHAnsi" w:hAnsi="Tw Cen MT" w:cs="Tw Cen MT"/>
          <w:b w:val="0"/>
          <w:bCs w:val="0"/>
          <w:color w:val="000000"/>
          <w:sz w:val="18"/>
          <w:szCs w:val="18"/>
        </w:rPr>
      </w:pPr>
    </w:p>
    <w:p w:rsidR="00AE3E37" w:rsidRPr="00C240AD" w:rsidRDefault="00A9710C" w:rsidP="00C240AD">
      <w:pPr>
        <w:pStyle w:val="Heading3"/>
        <w:spacing w:before="74"/>
        <w:jc w:val="both"/>
        <w:rPr>
          <w:rFonts w:ascii="Tw Cen MT" w:eastAsiaTheme="minorHAnsi" w:hAnsi="Tw Cen MT" w:cs="Tw Cen MT"/>
          <w:b w:val="0"/>
          <w:bCs w:val="0"/>
          <w:color w:val="000000"/>
          <w:sz w:val="18"/>
          <w:szCs w:val="18"/>
        </w:rPr>
      </w:pPr>
      <w:r>
        <w:rPr>
          <w:b w:val="0"/>
        </w:rPr>
        <w:br w:type="column"/>
      </w:r>
    </w:p>
    <w:p w:rsidR="005973B9" w:rsidRDefault="005973B9" w:rsidP="005973B9">
      <w:pPr>
        <w:spacing w:line="204" w:lineRule="exact"/>
        <w:rPr>
          <w:rFonts w:ascii="Arial"/>
          <w:b/>
          <w:sz w:val="20"/>
        </w:rPr>
      </w:pPr>
      <w:r>
        <w:rPr>
          <w:rFonts w:ascii="Arial"/>
          <w:b/>
          <w:color w:val="BF5A14"/>
          <w:sz w:val="20"/>
        </w:rPr>
        <w:t>Recent Publications (minimum 5)</w:t>
      </w:r>
    </w:p>
    <w:p w:rsidR="00C240AD" w:rsidRPr="00C240AD" w:rsidRDefault="00C240AD" w:rsidP="00C240AD">
      <w:pPr>
        <w:pStyle w:val="ListParagraph"/>
        <w:widowControl/>
        <w:numPr>
          <w:ilvl w:val="0"/>
          <w:numId w:val="4"/>
        </w:numPr>
        <w:spacing w:before="0" w:line="240" w:lineRule="auto"/>
        <w:contextualSpacing/>
        <w:rPr>
          <w:rFonts w:ascii="Tw Cen MT" w:eastAsia="Times New Roman" w:hAnsi="Tw Cen MT" w:cs="Times New Roman"/>
          <w:sz w:val="18"/>
          <w:szCs w:val="18"/>
        </w:rPr>
      </w:pPr>
      <w:r w:rsidRPr="00C240AD">
        <w:rPr>
          <w:rFonts w:ascii="Tw Cen MT" w:eastAsia="Times New Roman" w:hAnsi="Tw Cen MT" w:cs="Arial"/>
          <w:bCs/>
          <w:color w:val="111111"/>
          <w:sz w:val="18"/>
          <w:szCs w:val="18"/>
        </w:rPr>
        <w:t>Risk Stratification of Patients with Crohn's Disease: A Retrospective Analysis of Clinical Decision Making and Its Impact on Long-Term Outcome.  June 2017 Digestive Disease Journal</w:t>
      </w:r>
    </w:p>
    <w:p w:rsidR="00C240AD" w:rsidRPr="00C240AD" w:rsidRDefault="00C240AD" w:rsidP="00C240AD">
      <w:pPr>
        <w:pStyle w:val="ListParagraph"/>
        <w:widowControl/>
        <w:numPr>
          <w:ilvl w:val="0"/>
          <w:numId w:val="4"/>
        </w:numPr>
        <w:spacing w:before="0" w:line="240" w:lineRule="auto"/>
        <w:contextualSpacing/>
        <w:rPr>
          <w:rFonts w:ascii="Tw Cen MT" w:hAnsi="Tw Cen MT" w:cs="Arial"/>
          <w:color w:val="000000" w:themeColor="text1"/>
          <w:sz w:val="18"/>
          <w:szCs w:val="18"/>
        </w:rPr>
      </w:pPr>
      <w:hyperlink r:id="rId9" w:tgtFrame="_blank" w:history="1">
        <w:r w:rsidRPr="00C240AD">
          <w:rPr>
            <w:rFonts w:ascii="Tw Cen MT" w:hAnsi="Tw Cen MT" w:cs="Arial"/>
            <w:color w:val="000000" w:themeColor="text1"/>
            <w:sz w:val="18"/>
            <w:szCs w:val="18"/>
            <w:bdr w:val="none" w:sz="0" w:space="0" w:color="auto" w:frame="1"/>
          </w:rPr>
          <w:t>Knowledge, attitude, and practices of primary health care physicians toward colorectal cancer screening</w:t>
        </w:r>
      </w:hyperlink>
      <w:r w:rsidRPr="00C240AD">
        <w:rPr>
          <w:rFonts w:ascii="Tw Cen MT" w:hAnsi="Tw Cen MT" w:cs="Arial"/>
          <w:color w:val="000000" w:themeColor="text1"/>
          <w:sz w:val="18"/>
          <w:szCs w:val="18"/>
        </w:rPr>
        <w:t>. Nov 2017 Saudi Journal of Gastroenterology</w:t>
      </w:r>
    </w:p>
    <w:p w:rsidR="00C240AD" w:rsidRPr="00C240AD" w:rsidRDefault="00C240AD" w:rsidP="00C240AD">
      <w:pPr>
        <w:pStyle w:val="ListParagraph"/>
        <w:widowControl/>
        <w:numPr>
          <w:ilvl w:val="0"/>
          <w:numId w:val="4"/>
        </w:numPr>
        <w:spacing w:before="0" w:line="240" w:lineRule="auto"/>
        <w:contextualSpacing/>
        <w:rPr>
          <w:rFonts w:ascii="Tw Cen MT" w:hAnsi="Tw Cen MT" w:cs="Arial"/>
          <w:color w:val="000000" w:themeColor="text1"/>
          <w:sz w:val="18"/>
          <w:szCs w:val="18"/>
        </w:rPr>
      </w:pPr>
      <w:hyperlink r:id="rId10" w:tgtFrame="_blank" w:history="1">
        <w:r w:rsidRPr="00C240AD">
          <w:rPr>
            <w:rFonts w:ascii="Tw Cen MT" w:hAnsi="Tw Cen MT" w:cs="Arial"/>
            <w:bCs/>
            <w:color w:val="000000" w:themeColor="text1"/>
            <w:sz w:val="18"/>
            <w:szCs w:val="18"/>
            <w:bdr w:val="none" w:sz="0" w:space="0" w:color="auto" w:frame="1"/>
          </w:rPr>
          <w:t>Predictors of inadequate bowel preparation for inpatient colonoscopy</w:t>
        </w:r>
      </w:hyperlink>
      <w:r w:rsidRPr="00C240AD">
        <w:rPr>
          <w:rFonts w:ascii="Tw Cen MT" w:hAnsi="Tw Cen MT" w:cs="Arial"/>
          <w:color w:val="000000" w:themeColor="text1"/>
          <w:sz w:val="18"/>
          <w:szCs w:val="18"/>
        </w:rPr>
        <w:t>. Oct 2017; Turkish Society of Gastroenterology </w:t>
      </w:r>
    </w:p>
    <w:p w:rsidR="00C240AD" w:rsidRPr="00C240AD" w:rsidRDefault="00C240AD" w:rsidP="00C240AD">
      <w:pPr>
        <w:pStyle w:val="ListParagraph"/>
        <w:widowControl/>
        <w:numPr>
          <w:ilvl w:val="0"/>
          <w:numId w:val="4"/>
        </w:numPr>
        <w:spacing w:before="0" w:line="240" w:lineRule="auto"/>
        <w:contextualSpacing/>
        <w:rPr>
          <w:rFonts w:ascii="Tw Cen MT" w:hAnsi="Tw Cen MT" w:cs="Arial"/>
          <w:color w:val="000000" w:themeColor="text1"/>
          <w:sz w:val="18"/>
          <w:szCs w:val="18"/>
        </w:rPr>
      </w:pPr>
      <w:hyperlink r:id="rId11" w:tgtFrame="_blank" w:history="1">
        <w:r w:rsidRPr="00C240AD">
          <w:rPr>
            <w:rFonts w:ascii="Tw Cen MT" w:hAnsi="Tw Cen MT" w:cs="Arial"/>
            <w:bCs/>
            <w:color w:val="000000" w:themeColor="text1"/>
            <w:sz w:val="18"/>
            <w:szCs w:val="18"/>
            <w:bdr w:val="none" w:sz="0" w:space="0" w:color="auto" w:frame="1"/>
          </w:rPr>
          <w:t>A cross-sectional survey of multi-generation inflammatory bowel disease consanguinity and its relationship with disease onset</w:t>
        </w:r>
      </w:hyperlink>
      <w:r w:rsidRPr="00C240AD">
        <w:rPr>
          <w:rFonts w:ascii="Tw Cen MT" w:hAnsi="Tw Cen MT" w:cs="Arial"/>
          <w:color w:val="000000" w:themeColor="text1"/>
          <w:sz w:val="18"/>
          <w:szCs w:val="18"/>
        </w:rPr>
        <w:t>. Nov 2017 Saudi Journal of Gastroenterology </w:t>
      </w:r>
    </w:p>
    <w:p w:rsidR="00C240AD" w:rsidRPr="00C240AD" w:rsidRDefault="00C240AD" w:rsidP="00C240AD">
      <w:pPr>
        <w:pStyle w:val="ListParagraph"/>
        <w:widowControl/>
        <w:numPr>
          <w:ilvl w:val="0"/>
          <w:numId w:val="4"/>
        </w:numPr>
        <w:spacing w:before="0" w:line="240" w:lineRule="auto"/>
        <w:contextualSpacing/>
        <w:rPr>
          <w:rFonts w:ascii="Tw Cen MT" w:hAnsi="Tw Cen MT" w:cs="Arial"/>
          <w:color w:val="000000" w:themeColor="text1"/>
          <w:sz w:val="18"/>
          <w:szCs w:val="18"/>
        </w:rPr>
      </w:pPr>
      <w:hyperlink r:id="rId12" w:tgtFrame="_blank" w:history="1">
        <w:r w:rsidRPr="00C240AD">
          <w:rPr>
            <w:rFonts w:ascii="Tw Cen MT" w:hAnsi="Tw Cen MT" w:cs="Arial"/>
            <w:bCs/>
            <w:color w:val="000000" w:themeColor="text1"/>
            <w:sz w:val="18"/>
            <w:szCs w:val="18"/>
            <w:bdr w:val="none" w:sz="0" w:space="0" w:color="auto" w:frame="1"/>
          </w:rPr>
          <w:t>Screening irritable bowel syndrome patients for symptoms predictive of Crohn's disease using the red flag score</w:t>
        </w:r>
      </w:hyperlink>
      <w:r w:rsidRPr="00C240AD">
        <w:rPr>
          <w:rFonts w:ascii="Tw Cen MT" w:hAnsi="Tw Cen MT" w:cs="Arial"/>
          <w:color w:val="000000" w:themeColor="text1"/>
          <w:sz w:val="18"/>
          <w:szCs w:val="18"/>
        </w:rPr>
        <w:t>. July 2017 Saudi journal of gastroenterology</w:t>
      </w:r>
    </w:p>
    <w:p w:rsidR="00C240AD" w:rsidRPr="00C240AD" w:rsidRDefault="00C240AD" w:rsidP="00C240AD">
      <w:pPr>
        <w:pStyle w:val="ListParagraph"/>
        <w:widowControl/>
        <w:numPr>
          <w:ilvl w:val="0"/>
          <w:numId w:val="4"/>
        </w:numPr>
        <w:spacing w:before="0" w:line="240" w:lineRule="auto"/>
        <w:contextualSpacing/>
        <w:rPr>
          <w:rFonts w:ascii="Tw Cen MT" w:hAnsi="Tw Cen MT" w:cs="Arial"/>
          <w:color w:val="000000" w:themeColor="text1"/>
          <w:sz w:val="18"/>
          <w:szCs w:val="18"/>
        </w:rPr>
      </w:pPr>
      <w:hyperlink r:id="rId13" w:tgtFrame="_blank" w:history="1">
        <w:r w:rsidRPr="00C240AD">
          <w:rPr>
            <w:rFonts w:ascii="Tw Cen MT" w:hAnsi="Tw Cen MT" w:cs="Arial"/>
            <w:bCs/>
            <w:color w:val="000000" w:themeColor="text1"/>
            <w:sz w:val="18"/>
            <w:szCs w:val="18"/>
            <w:bdr w:val="none" w:sz="0" w:space="0" w:color="auto" w:frame="1"/>
          </w:rPr>
          <w:t>Risk Stratification of Patients with Crohn's Disease: A Retrospective Analysis of Clinical Decision Making and Its Impact on Long-Term Outcome</w:t>
        </w:r>
      </w:hyperlink>
      <w:r w:rsidRPr="00C240AD">
        <w:rPr>
          <w:rFonts w:ascii="Tw Cen MT" w:hAnsi="Tw Cen MT" w:cs="Arial"/>
          <w:color w:val="000000" w:themeColor="text1"/>
          <w:sz w:val="18"/>
          <w:szCs w:val="18"/>
        </w:rPr>
        <w:t>. June 2017; Saudi Journal of Gastroenterology </w:t>
      </w:r>
    </w:p>
    <w:p w:rsidR="00C240AD" w:rsidRPr="00C240AD" w:rsidRDefault="00C240AD" w:rsidP="00C240AD">
      <w:pPr>
        <w:pStyle w:val="ListParagraph"/>
        <w:widowControl/>
        <w:numPr>
          <w:ilvl w:val="0"/>
          <w:numId w:val="4"/>
        </w:numPr>
        <w:spacing w:before="0" w:line="240" w:lineRule="auto"/>
        <w:contextualSpacing/>
        <w:rPr>
          <w:rFonts w:ascii="Tw Cen MT" w:hAnsi="Tw Cen MT" w:cs="Arial"/>
          <w:color w:val="000000" w:themeColor="text1"/>
          <w:sz w:val="18"/>
          <w:szCs w:val="18"/>
        </w:rPr>
      </w:pPr>
      <w:hyperlink r:id="rId14" w:tgtFrame="_blank" w:history="1">
        <w:r w:rsidRPr="00C240AD">
          <w:rPr>
            <w:rFonts w:ascii="Tw Cen MT" w:hAnsi="Tw Cen MT" w:cs="Arial"/>
            <w:bCs/>
            <w:color w:val="000000" w:themeColor="text1"/>
            <w:sz w:val="18"/>
            <w:szCs w:val="18"/>
            <w:bdr w:val="none" w:sz="0" w:space="0" w:color="auto" w:frame="1"/>
          </w:rPr>
          <w:t>P173 Risk stratification of patients with Crohn's disease: a retrospective analysis of clinical decision-making and its impact on long-term outcome</w:t>
        </w:r>
      </w:hyperlink>
      <w:r w:rsidRPr="00C240AD">
        <w:rPr>
          <w:rFonts w:ascii="Tw Cen MT" w:hAnsi="Tw Cen MT" w:cs="Arial"/>
          <w:color w:val="000000" w:themeColor="text1"/>
          <w:sz w:val="18"/>
          <w:szCs w:val="18"/>
        </w:rPr>
        <w:t>. Feb 2017; Journal or Crohns and colitis </w:t>
      </w:r>
    </w:p>
    <w:p w:rsidR="00C240AD" w:rsidRPr="00C240AD" w:rsidRDefault="00C240AD" w:rsidP="00C240AD">
      <w:pPr>
        <w:pStyle w:val="ListParagraph"/>
        <w:widowControl/>
        <w:numPr>
          <w:ilvl w:val="0"/>
          <w:numId w:val="4"/>
        </w:numPr>
        <w:spacing w:before="100" w:beforeAutospacing="1" w:after="100" w:afterAutospacing="1" w:line="240" w:lineRule="auto"/>
        <w:contextualSpacing/>
        <w:rPr>
          <w:rFonts w:ascii="Tw Cen MT" w:hAnsi="Tw Cen MT" w:cs="Courier New"/>
          <w:color w:val="000000" w:themeColor="text1"/>
          <w:sz w:val="18"/>
          <w:szCs w:val="18"/>
        </w:rPr>
      </w:pPr>
      <w:hyperlink r:id="rId15" w:tgtFrame="_blank" w:history="1">
        <w:r w:rsidRPr="00C240AD">
          <w:rPr>
            <w:rFonts w:ascii="Tw Cen MT" w:hAnsi="Tw Cen MT" w:cs="Arial"/>
            <w:color w:val="000000" w:themeColor="text1"/>
            <w:sz w:val="18"/>
            <w:szCs w:val="18"/>
            <w:bdr w:val="none" w:sz="0" w:space="0" w:color="auto" w:frame="1"/>
          </w:rPr>
          <w:t>P300 Predicting long-term outcome of ulcerative colitis using a validated histologic index of severity</w:t>
        </w:r>
      </w:hyperlink>
      <w:r w:rsidRPr="00C240AD">
        <w:rPr>
          <w:rFonts w:ascii="Tw Cen MT" w:hAnsi="Tw Cen MT" w:cs="Courier New"/>
          <w:color w:val="000000" w:themeColor="text1"/>
          <w:sz w:val="18"/>
          <w:szCs w:val="18"/>
        </w:rPr>
        <w:t> </w:t>
      </w:r>
      <w:r>
        <w:rPr>
          <w:rFonts w:ascii="Tw Cen MT" w:hAnsi="Tw Cen MT" w:cs="Courier New"/>
          <w:color w:val="000000" w:themeColor="text1"/>
          <w:sz w:val="18"/>
          <w:szCs w:val="18"/>
        </w:rPr>
        <w:t xml:space="preserve"> </w:t>
      </w:r>
      <w:r w:rsidRPr="00C240AD">
        <w:rPr>
          <w:rFonts w:ascii="Tw Cen MT" w:hAnsi="Tw Cen MT" w:cs="Arial"/>
          <w:color w:val="000000" w:themeColor="text1"/>
          <w:sz w:val="18"/>
          <w:szCs w:val="18"/>
        </w:rPr>
        <w:t>Jan 2018. Journal of Crohn s and Colitis</w:t>
      </w:r>
    </w:p>
    <w:p w:rsidR="00C240AD" w:rsidRPr="00C240AD" w:rsidRDefault="00C240AD" w:rsidP="00C240AD">
      <w:pPr>
        <w:pStyle w:val="ListParagraph"/>
        <w:widowControl/>
        <w:numPr>
          <w:ilvl w:val="0"/>
          <w:numId w:val="4"/>
        </w:numPr>
        <w:spacing w:before="0" w:line="240" w:lineRule="auto"/>
        <w:contextualSpacing/>
        <w:rPr>
          <w:rFonts w:ascii="Tw Cen MT" w:eastAsia="Times New Roman" w:hAnsi="Tw Cen MT" w:cs="Times New Roman"/>
          <w:color w:val="000000" w:themeColor="text1"/>
          <w:sz w:val="18"/>
          <w:szCs w:val="18"/>
        </w:rPr>
      </w:pPr>
      <w:r w:rsidRPr="00C240AD">
        <w:rPr>
          <w:rFonts w:ascii="Tw Cen MT" w:eastAsia="Times New Roman" w:hAnsi="Tw Cen MT" w:cs="Times New Roman"/>
          <w:sz w:val="18"/>
          <w:szCs w:val="18"/>
        </w:rPr>
        <w:t>Case report: “</w:t>
      </w:r>
      <w:r w:rsidRPr="00C240AD">
        <w:rPr>
          <w:rFonts w:ascii="Tw Cen MT" w:eastAsia="Times New Roman" w:hAnsi="Tw Cen MT" w:cs="Arial"/>
          <w:color w:val="111111"/>
          <w:sz w:val="18"/>
          <w:szCs w:val="18"/>
          <w:shd w:val="clear" w:color="auto" w:fill="FFFFFF"/>
        </w:rPr>
        <w:t xml:space="preserve">Ischemic Renal Injury Complicating Intragastric Balloon Insertion” </w:t>
      </w:r>
      <w:r w:rsidRPr="00C240AD">
        <w:rPr>
          <w:rFonts w:ascii="Tw Cen MT" w:eastAsia="Times New Roman" w:hAnsi="Tw Cen MT" w:cs="Times New Roman"/>
          <w:sz w:val="18"/>
          <w:szCs w:val="18"/>
        </w:rPr>
        <w:t xml:space="preserve">ACG case report </w:t>
      </w:r>
      <w:r w:rsidRPr="00C240AD">
        <w:rPr>
          <w:rFonts w:ascii="Tw Cen MT" w:eastAsia="Times New Roman" w:hAnsi="Tw Cen MT" w:cs="Times New Roman"/>
          <w:color w:val="000000" w:themeColor="text1"/>
          <w:sz w:val="18"/>
          <w:szCs w:val="18"/>
        </w:rPr>
        <w:t>journal 2018)</w:t>
      </w:r>
    </w:p>
    <w:p w:rsidR="00C240AD" w:rsidRPr="00C240AD" w:rsidRDefault="00C240AD" w:rsidP="00C240AD">
      <w:pPr>
        <w:pStyle w:val="ListParagraph"/>
        <w:widowControl/>
        <w:numPr>
          <w:ilvl w:val="0"/>
          <w:numId w:val="4"/>
        </w:numPr>
        <w:spacing w:before="100" w:beforeAutospacing="1" w:after="100" w:afterAutospacing="1" w:line="240" w:lineRule="auto"/>
        <w:contextualSpacing/>
        <w:rPr>
          <w:rFonts w:ascii="Tw Cen MT" w:hAnsi="Tw Cen MT" w:cs="Courier New"/>
          <w:color w:val="000000" w:themeColor="text1"/>
          <w:sz w:val="18"/>
          <w:szCs w:val="18"/>
        </w:rPr>
      </w:pPr>
      <w:r w:rsidRPr="00C240AD">
        <w:rPr>
          <w:rFonts w:ascii="Tw Cen MT" w:hAnsi="Tw Cen MT" w:cs="Courier New"/>
          <w:color w:val="000000" w:themeColor="text1"/>
          <w:sz w:val="18"/>
          <w:szCs w:val="18"/>
        </w:rPr>
        <w:t>Editorial: "Preoperative Biliary Drainage in Pancreatic Head Cancer Patients" Saudi Journal of Gastroenterology 2018</w:t>
      </w:r>
    </w:p>
    <w:p w:rsidR="00AE3E37" w:rsidRPr="00885E38" w:rsidRDefault="00C240AD" w:rsidP="00885E38">
      <w:pPr>
        <w:pStyle w:val="ListParagraph"/>
        <w:widowControl/>
        <w:numPr>
          <w:ilvl w:val="0"/>
          <w:numId w:val="4"/>
        </w:numPr>
        <w:spacing w:before="100" w:beforeAutospacing="1" w:after="100" w:afterAutospacing="1" w:line="240" w:lineRule="auto"/>
        <w:contextualSpacing/>
        <w:rPr>
          <w:rFonts w:ascii="Tw Cen MT" w:hAnsi="Tw Cen MT" w:cs="Courier New"/>
          <w:color w:val="000000" w:themeColor="text1"/>
          <w:sz w:val="19"/>
          <w:szCs w:val="19"/>
        </w:rPr>
      </w:pPr>
      <w:r w:rsidRPr="00C240AD">
        <w:rPr>
          <w:rFonts w:ascii="Tw Cen MT" w:hAnsi="Tw Cen MT" w:cs="Courier New"/>
          <w:color w:val="000000" w:themeColor="text1"/>
          <w:sz w:val="18"/>
          <w:szCs w:val="18"/>
        </w:rPr>
        <w:t>Editorial:   Management of Distal Malignant Biliary Obstruction' Saudi Journal of Gastroenterology 2018</w:t>
      </w:r>
    </w:p>
    <w:p w:rsidR="00885E38" w:rsidRPr="00885E38" w:rsidRDefault="00885E38" w:rsidP="00885E38">
      <w:pPr>
        <w:pStyle w:val="ListParagraph"/>
        <w:widowControl/>
        <w:numPr>
          <w:ilvl w:val="0"/>
          <w:numId w:val="4"/>
        </w:numPr>
        <w:spacing w:before="100" w:beforeAutospacing="1" w:after="100" w:afterAutospacing="1" w:line="240" w:lineRule="auto"/>
        <w:contextualSpacing/>
        <w:rPr>
          <w:rFonts w:ascii="Tw Cen MT" w:hAnsi="Tw Cen MT" w:cs="Courier New"/>
          <w:color w:val="000000" w:themeColor="text1"/>
          <w:sz w:val="19"/>
          <w:szCs w:val="19"/>
        </w:rPr>
        <w:sectPr w:rsidR="00885E38" w:rsidRPr="00885E3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718AC9"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C240AD" w:rsidRDefault="008756E6" w:rsidP="00404E5B">
      <w:pPr>
        <w:spacing w:before="92"/>
        <w:ind w:right="4234"/>
        <w:rPr>
          <w:noProof/>
        </w:rPr>
      </w:pPr>
      <w:r>
        <w:rPr>
          <w:noProof/>
        </w:rPr>
        <w:t xml:space="preserve">              </w:t>
      </w:r>
      <w:r>
        <w:rPr>
          <w:noProof/>
          <w:lang w:val="en-IN" w:eastAsia="en-IN"/>
        </w:rPr>
        <w:drawing>
          <wp:inline distT="0" distB="0" distL="0" distR="0" wp14:anchorId="1B650C0E" wp14:editId="0E8C3C7F">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p>
    <w:p w:rsidR="00885E38" w:rsidRPr="00885E38" w:rsidRDefault="00A9710C" w:rsidP="00885E38">
      <w:pPr>
        <w:pStyle w:val="ListParagraph"/>
        <w:widowControl/>
        <w:spacing w:before="0" w:line="240" w:lineRule="auto"/>
        <w:ind w:left="720" w:firstLine="0"/>
        <w:contextualSpacing/>
        <w:rPr>
          <w:rFonts w:ascii="Times" w:eastAsia="Times New Roman" w:hAnsi="Times" w:cs="Times New Roman"/>
          <w:sz w:val="20"/>
          <w:szCs w:val="20"/>
        </w:rPr>
      </w:pPr>
      <w:r>
        <w:rPr>
          <w:rFonts w:ascii="Arial"/>
          <w:color w:val="BF5A14"/>
        </w:rPr>
        <w:t>Biography</w:t>
      </w:r>
      <w:r w:rsidR="00404E5B">
        <w:rPr>
          <w:rFonts w:ascii="Arial"/>
          <w:color w:val="BF5A14"/>
        </w:rPr>
        <w:t xml:space="preserve"> (150 word limit)</w:t>
      </w:r>
      <w:r w:rsidR="00C240AD">
        <w:rPr>
          <w:rFonts w:ascii="Arial"/>
          <w:color w:val="BF5A14"/>
        </w:rPr>
        <w:t xml:space="preserve">: </w:t>
      </w:r>
    </w:p>
    <w:p w:rsidR="00885E38" w:rsidRPr="00885E38" w:rsidRDefault="00C240AD" w:rsidP="00885E38">
      <w:pPr>
        <w:pStyle w:val="ListParagraph"/>
        <w:widowControl/>
        <w:numPr>
          <w:ilvl w:val="0"/>
          <w:numId w:val="5"/>
        </w:numPr>
        <w:spacing w:before="0" w:line="240" w:lineRule="auto"/>
        <w:contextualSpacing/>
        <w:rPr>
          <w:rFonts w:ascii="Tw Cen MT" w:eastAsia="Times New Roman" w:hAnsi="Tw Cen MT" w:cs="Times New Roman"/>
          <w:sz w:val="18"/>
          <w:szCs w:val="18"/>
        </w:rPr>
      </w:pPr>
      <w:r w:rsidRPr="00885E38">
        <w:rPr>
          <w:rFonts w:ascii="Tw Cen MT" w:hAnsi="Tw Cen MT"/>
          <w:color w:val="000000" w:themeColor="text1"/>
          <w:sz w:val="18"/>
          <w:szCs w:val="18"/>
        </w:rPr>
        <w:t xml:space="preserve">Graduated from </w:t>
      </w:r>
      <w:r w:rsidR="00885E38" w:rsidRPr="00885E38">
        <w:rPr>
          <w:rFonts w:ascii="Tw Cen MT" w:hAnsi="Tw Cen MT"/>
          <w:color w:val="000000" w:themeColor="text1"/>
          <w:sz w:val="18"/>
          <w:szCs w:val="18"/>
        </w:rPr>
        <w:t xml:space="preserve">King Abdul Aziz University Medical school in 2015. </w:t>
      </w:r>
    </w:p>
    <w:p w:rsidR="00885E38" w:rsidRPr="00885E38" w:rsidRDefault="00885E38" w:rsidP="00885E38">
      <w:pPr>
        <w:pStyle w:val="ListParagraph"/>
        <w:widowControl/>
        <w:numPr>
          <w:ilvl w:val="0"/>
          <w:numId w:val="5"/>
        </w:numPr>
        <w:spacing w:before="0" w:line="240" w:lineRule="auto"/>
        <w:contextualSpacing/>
        <w:rPr>
          <w:rFonts w:ascii="Tw Cen MT" w:eastAsia="Times New Roman" w:hAnsi="Tw Cen MT" w:cs="Times New Roman"/>
          <w:sz w:val="18"/>
          <w:szCs w:val="18"/>
        </w:rPr>
      </w:pPr>
      <w:r w:rsidRPr="00885E38">
        <w:rPr>
          <w:rFonts w:ascii="Tw Cen MT" w:eastAsia="Times New Roman" w:hAnsi="Tw Cen MT" w:cs="Times New Roman"/>
          <w:sz w:val="18"/>
          <w:szCs w:val="18"/>
        </w:rPr>
        <w:t xml:space="preserve">Residency training: Internal medicine, Lahey Hospital and Medical Center, Burlington, MA (January/2008 - December/2010) </w:t>
      </w:r>
    </w:p>
    <w:p w:rsidR="00885E38" w:rsidRPr="00885E38" w:rsidRDefault="00885E38" w:rsidP="00885E38">
      <w:pPr>
        <w:pStyle w:val="ListParagraph"/>
        <w:widowControl/>
        <w:numPr>
          <w:ilvl w:val="0"/>
          <w:numId w:val="5"/>
        </w:numPr>
        <w:spacing w:before="0" w:line="240" w:lineRule="auto"/>
        <w:contextualSpacing/>
        <w:rPr>
          <w:rFonts w:ascii="Tw Cen MT" w:eastAsia="Times New Roman" w:hAnsi="Tw Cen MT" w:cs="Times New Roman"/>
          <w:sz w:val="18"/>
          <w:szCs w:val="18"/>
        </w:rPr>
      </w:pPr>
      <w:r w:rsidRPr="00885E38">
        <w:rPr>
          <w:rFonts w:ascii="Tw Cen MT" w:eastAsia="Times New Roman" w:hAnsi="Tw Cen MT" w:cs="Times New Roman"/>
          <w:sz w:val="18"/>
          <w:szCs w:val="18"/>
        </w:rPr>
        <w:t xml:space="preserve">Fellowship training: Gastroenterology, Lahey Hospital and Medical Center, Burlington, MA (January/2011 – December/2013) </w:t>
      </w:r>
    </w:p>
    <w:p w:rsidR="00885E38" w:rsidRPr="00885E38" w:rsidRDefault="00885E38" w:rsidP="00885E38">
      <w:pPr>
        <w:pStyle w:val="ListParagraph"/>
        <w:widowControl/>
        <w:numPr>
          <w:ilvl w:val="0"/>
          <w:numId w:val="5"/>
        </w:numPr>
        <w:spacing w:before="0" w:line="240" w:lineRule="auto"/>
        <w:contextualSpacing/>
        <w:rPr>
          <w:rFonts w:ascii="Tw Cen MT" w:eastAsia="Times New Roman" w:hAnsi="Tw Cen MT" w:cs="Times New Roman"/>
          <w:sz w:val="18"/>
          <w:szCs w:val="18"/>
        </w:rPr>
      </w:pPr>
      <w:r w:rsidRPr="00885E38">
        <w:rPr>
          <w:rFonts w:ascii="Tw Cen MT" w:eastAsia="Times New Roman" w:hAnsi="Tw Cen MT" w:cs="Times New Roman"/>
          <w:sz w:val="18"/>
          <w:szCs w:val="18"/>
        </w:rPr>
        <w:t xml:space="preserve">Fellowship training: Transplant Hepatology and Liver diseases, Lahey Hospital and Medical Center (January/2014 – June/2014) </w:t>
      </w:r>
    </w:p>
    <w:p w:rsidR="00885E38" w:rsidRPr="00885E38" w:rsidRDefault="00885E38" w:rsidP="00885E38">
      <w:pPr>
        <w:pStyle w:val="ListParagraph"/>
        <w:widowControl/>
        <w:numPr>
          <w:ilvl w:val="0"/>
          <w:numId w:val="5"/>
        </w:numPr>
        <w:spacing w:before="0" w:line="240" w:lineRule="auto"/>
        <w:contextualSpacing/>
        <w:rPr>
          <w:rFonts w:ascii="Tw Cen MT" w:eastAsia="Times New Roman" w:hAnsi="Tw Cen MT" w:cs="Times New Roman"/>
          <w:sz w:val="18"/>
          <w:szCs w:val="18"/>
        </w:rPr>
      </w:pPr>
      <w:r w:rsidRPr="00885E38">
        <w:rPr>
          <w:rFonts w:ascii="Tw Cen MT" w:eastAsia="Times New Roman" w:hAnsi="Tw Cen MT" w:cs="Times New Roman"/>
          <w:sz w:val="18"/>
          <w:szCs w:val="18"/>
        </w:rPr>
        <w:t xml:space="preserve">Advanced Endoscopy Fellowship training at Beth Israel Deaconess Medical Center (July/2014 – June/2015) </w:t>
      </w:r>
    </w:p>
    <w:p w:rsidR="00885E38" w:rsidRPr="00885E38" w:rsidRDefault="00885E38" w:rsidP="00885E38">
      <w:pPr>
        <w:pStyle w:val="ListParagraph"/>
        <w:widowControl/>
        <w:numPr>
          <w:ilvl w:val="0"/>
          <w:numId w:val="5"/>
        </w:numPr>
        <w:spacing w:before="0" w:line="240" w:lineRule="auto"/>
        <w:contextualSpacing/>
        <w:rPr>
          <w:rFonts w:ascii="Tw Cen MT" w:eastAsia="Times New Roman" w:hAnsi="Tw Cen MT" w:cs="Times New Roman"/>
          <w:sz w:val="18"/>
          <w:szCs w:val="18"/>
        </w:rPr>
      </w:pPr>
      <w:r w:rsidRPr="00885E38">
        <w:rPr>
          <w:rFonts w:ascii="Tw Cen MT" w:eastAsia="Times New Roman" w:hAnsi="Tw Cen MT" w:cs="Times New Roman"/>
          <w:sz w:val="18"/>
          <w:szCs w:val="18"/>
        </w:rPr>
        <w:t>Assistant professor of Internal Medicine at King Abdul Aziz University Hospital in Jeddah (January/2016- present)</w:t>
      </w:r>
    </w:p>
    <w:p w:rsidR="00885E38" w:rsidRDefault="00885E38" w:rsidP="00885E38">
      <w:pPr>
        <w:pStyle w:val="ListParagraph"/>
        <w:widowControl/>
        <w:numPr>
          <w:ilvl w:val="0"/>
          <w:numId w:val="5"/>
        </w:numPr>
        <w:spacing w:before="0" w:line="240" w:lineRule="auto"/>
        <w:contextualSpacing/>
        <w:rPr>
          <w:rFonts w:ascii="Tw Cen MT" w:eastAsia="Times New Roman" w:hAnsi="Tw Cen MT" w:cs="Times New Roman"/>
          <w:sz w:val="18"/>
          <w:szCs w:val="18"/>
        </w:rPr>
      </w:pPr>
      <w:r w:rsidRPr="00885E38">
        <w:rPr>
          <w:rFonts w:ascii="Tw Cen MT" w:eastAsia="Times New Roman" w:hAnsi="Tw Cen MT" w:cs="Times New Roman"/>
          <w:sz w:val="18"/>
          <w:szCs w:val="18"/>
        </w:rPr>
        <w:t>Gastroenterology Fellowship Program Director at King Abdul Aziz University Hospital (October/2017 – present)</w:t>
      </w:r>
    </w:p>
    <w:p w:rsidR="00885E38" w:rsidRPr="00885E38" w:rsidRDefault="00885E38" w:rsidP="00885E38">
      <w:pPr>
        <w:widowControl/>
        <w:contextualSpacing/>
        <w:rPr>
          <w:rFonts w:eastAsia="Times New Roman" w:cs="Times New Roman"/>
          <w:sz w:val="18"/>
          <w:szCs w:val="18"/>
        </w:rPr>
      </w:pPr>
    </w:p>
    <w:p w:rsidR="00885E38" w:rsidRPr="00885E38" w:rsidRDefault="00885E38" w:rsidP="00885E38">
      <w:pPr>
        <w:pStyle w:val="ListParagraph"/>
        <w:widowControl/>
        <w:numPr>
          <w:ilvl w:val="0"/>
          <w:numId w:val="6"/>
        </w:numPr>
        <w:spacing w:before="0" w:line="240" w:lineRule="auto"/>
        <w:contextualSpacing/>
        <w:rPr>
          <w:rFonts w:ascii="Tw Cen MT" w:eastAsia="Times New Roman" w:hAnsi="Tw Cen MT" w:cs="Times New Roman"/>
          <w:sz w:val="18"/>
          <w:szCs w:val="18"/>
        </w:rPr>
      </w:pPr>
      <w:r w:rsidRPr="00885E38">
        <w:rPr>
          <w:rFonts w:ascii="Tw Cen MT" w:eastAsia="Times New Roman" w:hAnsi="Tw Cen MT" w:cs="Times New Roman"/>
          <w:sz w:val="18"/>
          <w:szCs w:val="18"/>
        </w:rPr>
        <w:t xml:space="preserve">ECFMG certified American Board of Internal Medicine Certified (ABIM) 2012 </w:t>
      </w:r>
    </w:p>
    <w:p w:rsidR="00885E38" w:rsidRPr="00885E38" w:rsidRDefault="00885E38" w:rsidP="00885E38">
      <w:pPr>
        <w:pStyle w:val="ListParagraph"/>
        <w:widowControl/>
        <w:numPr>
          <w:ilvl w:val="0"/>
          <w:numId w:val="6"/>
        </w:numPr>
        <w:spacing w:before="0" w:line="240" w:lineRule="auto"/>
        <w:contextualSpacing/>
        <w:rPr>
          <w:rFonts w:ascii="Tw Cen MT" w:eastAsia="Times New Roman" w:hAnsi="Tw Cen MT" w:cs="Times New Roman"/>
          <w:sz w:val="18"/>
          <w:szCs w:val="18"/>
        </w:rPr>
      </w:pPr>
      <w:r w:rsidRPr="00885E38">
        <w:rPr>
          <w:rFonts w:ascii="Tw Cen MT" w:eastAsia="Times New Roman" w:hAnsi="Tw Cen MT" w:cs="Times New Roman"/>
          <w:sz w:val="18"/>
          <w:szCs w:val="18"/>
        </w:rPr>
        <w:t xml:space="preserve">American Board of Gastroenterology Certified (ABIM) 2015 </w:t>
      </w:r>
    </w:p>
    <w:p w:rsidR="00885E38" w:rsidRPr="00885E38" w:rsidRDefault="00885E38" w:rsidP="00885E38">
      <w:pPr>
        <w:pStyle w:val="ListParagraph"/>
        <w:widowControl/>
        <w:numPr>
          <w:ilvl w:val="0"/>
          <w:numId w:val="6"/>
        </w:numPr>
        <w:spacing w:before="0" w:line="240" w:lineRule="auto"/>
        <w:contextualSpacing/>
        <w:rPr>
          <w:rFonts w:ascii="Tw Cen MT" w:eastAsia="Times New Roman" w:hAnsi="Tw Cen MT" w:cs="Times New Roman"/>
          <w:sz w:val="18"/>
          <w:szCs w:val="18"/>
        </w:rPr>
      </w:pPr>
      <w:r w:rsidRPr="00885E38">
        <w:rPr>
          <w:rFonts w:ascii="Tw Cen MT" w:eastAsia="Times New Roman" w:hAnsi="Tw Cen MT" w:cs="Times New Roman"/>
          <w:sz w:val="18"/>
          <w:szCs w:val="18"/>
        </w:rPr>
        <w:t>Medical License in MA, USA</w:t>
      </w:r>
    </w:p>
    <w:p w:rsidR="00885E38" w:rsidRPr="00885E38" w:rsidRDefault="00885E38" w:rsidP="00885E38">
      <w:pPr>
        <w:pStyle w:val="ListParagraph"/>
        <w:widowControl/>
        <w:numPr>
          <w:ilvl w:val="0"/>
          <w:numId w:val="6"/>
        </w:numPr>
        <w:spacing w:before="0" w:line="240" w:lineRule="auto"/>
        <w:contextualSpacing/>
        <w:rPr>
          <w:rFonts w:ascii="Tw Cen MT" w:eastAsia="Times New Roman" w:hAnsi="Tw Cen MT" w:cs="Times New Roman"/>
          <w:sz w:val="18"/>
          <w:szCs w:val="18"/>
        </w:rPr>
      </w:pPr>
      <w:r w:rsidRPr="00885E38">
        <w:rPr>
          <w:rFonts w:ascii="Tw Cen MT" w:eastAsia="Times New Roman" w:hAnsi="Tw Cen MT" w:cs="Times New Roman"/>
          <w:sz w:val="18"/>
          <w:szCs w:val="18"/>
        </w:rPr>
        <w:t xml:space="preserve">Saudi Council Medical License </w:t>
      </w:r>
    </w:p>
    <w:p w:rsidR="00AE3E37" w:rsidRPr="00C240AD" w:rsidRDefault="00AE3E37" w:rsidP="00404E5B">
      <w:pPr>
        <w:spacing w:before="92"/>
        <w:ind w:right="4234"/>
        <w:rPr>
          <w:color w:val="000000" w:themeColor="text1"/>
          <w:sz w:val="18"/>
          <w:szCs w:val="18"/>
        </w:rPr>
      </w:pPr>
    </w:p>
    <w:p w:rsidR="00AE3E37" w:rsidRDefault="00A9710C">
      <w:pPr>
        <w:spacing w:before="62"/>
        <w:ind w:left="4217" w:right="4235"/>
        <w:jc w:val="center"/>
        <w:rPr>
          <w:rFonts w:ascii="Arial"/>
          <w:sz w:val="14"/>
        </w:rPr>
      </w:pPr>
      <w:r>
        <w:rPr>
          <w:rFonts w:ascii="Arial"/>
          <w:sz w:val="14"/>
        </w:rPr>
        <w:t xml:space="preserve">Email: </w:t>
      </w:r>
      <w:hyperlink r:id="rId17" w:history="1">
        <w:r w:rsidR="000335FD" w:rsidRPr="003069D5">
          <w:rPr>
            <w:rStyle w:val="Hyperlink"/>
            <w:rFonts w:ascii="Arial"/>
            <w:sz w:val="14"/>
          </w:rPr>
          <w:t>ealjahdli@gmail.com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6EAA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53F8" w:rsidRDefault="006653F8">
      <w:r>
        <w:separator/>
      </w:r>
    </w:p>
  </w:endnote>
  <w:endnote w:type="continuationSeparator" w:id="0">
    <w:p w:rsidR="006653F8" w:rsidRDefault="00665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53F8" w:rsidRDefault="006653F8">
      <w:r>
        <w:separator/>
      </w:r>
    </w:p>
  </w:footnote>
  <w:footnote w:type="continuationSeparator" w:id="0">
    <w:p w:rsidR="006653F8" w:rsidRDefault="00665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012F4"/>
    <w:multiLevelType w:val="hybridMultilevel"/>
    <w:tmpl w:val="7A7C7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265DA1"/>
    <w:multiLevelType w:val="hybridMultilevel"/>
    <w:tmpl w:val="770A3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AA91222"/>
    <w:multiLevelType w:val="hybridMultilevel"/>
    <w:tmpl w:val="9C26F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35FD"/>
    <w:rsid w:val="000E2911"/>
    <w:rsid w:val="001263DF"/>
    <w:rsid w:val="001448D0"/>
    <w:rsid w:val="00292ED9"/>
    <w:rsid w:val="002D2660"/>
    <w:rsid w:val="003658FE"/>
    <w:rsid w:val="00404E5B"/>
    <w:rsid w:val="00414F7B"/>
    <w:rsid w:val="004162E4"/>
    <w:rsid w:val="00430415"/>
    <w:rsid w:val="00432289"/>
    <w:rsid w:val="004355DC"/>
    <w:rsid w:val="004749B4"/>
    <w:rsid w:val="00494130"/>
    <w:rsid w:val="004F3523"/>
    <w:rsid w:val="005973B9"/>
    <w:rsid w:val="005B3A56"/>
    <w:rsid w:val="006060CE"/>
    <w:rsid w:val="0063497F"/>
    <w:rsid w:val="006653F8"/>
    <w:rsid w:val="00873DF0"/>
    <w:rsid w:val="008756E6"/>
    <w:rsid w:val="00885E38"/>
    <w:rsid w:val="008F405D"/>
    <w:rsid w:val="009B2D44"/>
    <w:rsid w:val="00A07E82"/>
    <w:rsid w:val="00A9710C"/>
    <w:rsid w:val="00AE3E37"/>
    <w:rsid w:val="00B21A57"/>
    <w:rsid w:val="00BA5DED"/>
    <w:rsid w:val="00C240AD"/>
    <w:rsid w:val="00C33602"/>
    <w:rsid w:val="00CD6F55"/>
    <w:rsid w:val="00DE3104"/>
    <w:rsid w:val="00E54623"/>
    <w:rsid w:val="00E83585"/>
    <w:rsid w:val="00F47F8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2549E7"/>
  <w15:docId w15:val="{60AFCF17-903B-5944-BF0A-D40C4DA76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335F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researchgate.net/profile/Emad_Aljahdli/publication/317962049_Risk_Stratification_of_Patients_with_Crohn's_Disease_A_Retrospective_Analysis_of_Clinical_Decision_Making_and_Its_Impact_on_Long-Term_Outcome?_sg=aC1dQYrpYYaemRqBpBEquIZ3w6Th--xxjPZnQCELnjoKC_lNRac0Nxc6tAMw4K5da19U009aZXROLCX46789w2TWmFzhpxFYxkJA54Gc.6FczSQF5SCdmWMKEyEcCI6pDYtXqX6wd8mND_iB5sDxf23-sTqDoEU8WgIOE5au6Jx5TwYlb84JWDZG1Xl3mR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researchgate.net/profile/Emad_Aljahdli/publication/318948607_Screening_irritable_bowel_syndrome_patients_for_symptoms_predictive_of_Crohn's_disease_using_the_red_flag_score?_sg=aC1dQYrpYYaemRqBpBEquIZ3w6Th--xxjPZnQCELnjoKC_lNRac0Nxc6tAMw4K5da19U009aZXROLCX46789w2TWmFzhpxFYxkJA54Gc.6FczSQF5SCdmWMKEyEcCI6pDYtXqX6wd8mND_iB5sDxf23-sTqDoEU8WgIOE5au6Jx5TwYlb84JWDZG1Xl3mRA" TargetMode="External"/><Relationship Id="rId17" Type="http://schemas.openxmlformats.org/officeDocument/2006/relationships/hyperlink" Target="mailto:ealjahdli@gmail.com" TargetMode="External"/><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profile/Emad_Aljahdli/publication/322003040_A_cross-sectional_survey_of_multi-generation_inflammatory_bowel_disease_consanguinity_and_its_relationship_with_disease_onset?_sg=aC1dQYrpYYaemRqBpBEquIZ3w6Th--xxjPZnQCELnjoKC_lNRac0Nxc6tAMw4K5da19U009aZXROLCX46789w2TWmFzhpxFYxkJA54Gc.6FczSQF5SCdmWMKEyEcCI6pDYtXqX6wd8mND_iB5sDxf23-sTqDoEU8WgIOE5au6Jx5TwYlb84JWDZG1Xl3mRA" TargetMode="External"/><Relationship Id="rId5" Type="http://schemas.openxmlformats.org/officeDocument/2006/relationships/footnotes" Target="footnotes.xml"/><Relationship Id="rId15" Type="http://schemas.openxmlformats.org/officeDocument/2006/relationships/hyperlink" Target="https://www.researchgate.net/profile/Emad_Aljahdli/publication/322889896_P300_Predicting_long-term_outcome_of_ulcerative_colitis_using_a_validated_histologic_index_of_severity?_sg=kCVbj-slGVKTP1dcs-sUnlgSKcKD7JOQzHTprRI9CBK7EZICubmQPEwKm_jWTBq4aRd1NIo0VIJMFswh4vlz8PNiczwMBT1bRgYPrvm_.rQLTdBJy9pJCV-9HLM8-mMmEDQoJqhVYtA3JbBFzqZywYHuzWqpm3Z8zdDsrqncCmd5SM4AoO9dEv0s8nGr5CA" TargetMode="External"/><Relationship Id="rId10" Type="http://schemas.openxmlformats.org/officeDocument/2006/relationships/hyperlink" Target="https://www.researchgate.net/profile/Emad_Aljahdli/publication/320633051_Predictors_of_inadequate_bowel_preparation_for_inpatient_colonoscopy?_sg=aC1dQYrpYYaemRqBpBEquIZ3w6Th--xxjPZnQCELnjoKC_lNRac0Nxc6tAMw4K5da19U009aZXROLCX46789w2TWmFzhpxFYxkJA54Gc.6FczSQF5SCdmWMKEyEcCI6pDYtXqX6wd8mND_iB5sDxf23-sTqDoEU8WgIOE5au6Jx5TwYlb84JWDZG1Xl3mR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researchgate.net/profile/Emad_Aljahdli/publication/322005214_Knowledge_attitude_and_practices_of_primary_health_care_physicians_toward_colorectal_cancer_screening?_sg=aC1dQYrpYYaemRqBpBEquIZ3w6Th--xxjPZnQCELnjoKC_lNRac0Nxc6tAMw4K5da19U009aZXROLCX46789w2TWmFzhpxFYxkJA54Gc.6FczSQF5SCdmWMKEyEcCI6pDYtXqX6wd8mND_iB5sDxf23-sTqDoEU8WgIOE5au6Jx5TwYlb84JWDZG1Xl3mRA" TargetMode="External"/><Relationship Id="rId14" Type="http://schemas.openxmlformats.org/officeDocument/2006/relationships/hyperlink" Target="https://www.researchgate.net/profile/Emad_Aljahdli/publication/313455945_P173_Risk_stratification_of_patients_with_Crohn's_disease_a_retrospective_analysis_of_clinical_decision-making_and_its_impact_on_long-term_outcome?_sg=aC1dQYrpYYaemRqBpBEquIZ3w6Th--xxjPZnQCELnjoKC_lNRac0Nxc6tAMw4K5da19U009aZXROLCX46789w2TWmFzhpxFYxkJA54Gc.6FczSQF5SCdmWMKEyEcCI6pDYtXqX6wd8mND_iB5sDxf23-sTqDoEU8WgIOE5au6Jx5TwYlb84JWDZG1Xl3m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2018-08-01T22:07:00Z</dcterms:created>
  <dcterms:modified xsi:type="dcterms:W3CDTF">2018-08-01T22:07:00Z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