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1F411C2" w14:textId="4524477A" w:rsidR="0032420B" w:rsidRDefault="0032420B" w:rsidP="0032420B">
      <w:pPr>
        <w:spacing w:after="0" w:line="480" w:lineRule="auto"/>
        <w:rPr>
          <w:b/>
          <w:bCs/>
          <w:sz w:val="28"/>
          <w:szCs w:val="28"/>
          <w:shd w:val="clear" w:color="auto" w:fill="FFFFFF"/>
        </w:rPr>
      </w:pPr>
      <w:r>
        <w:rPr>
          <w:b/>
          <w:bCs/>
          <w:sz w:val="28"/>
          <w:szCs w:val="28"/>
          <w:shd w:val="clear" w:color="auto" w:fill="FFFFFF"/>
        </w:rPr>
        <w:t>Ammonia level may NOT be associated with the severity of Hepatic Encephalopathy: An extensive Literature review</w:t>
      </w:r>
    </w:p>
    <w:p w14:paraId="670605EF" w14:textId="1DE33D59" w:rsidR="001220DB" w:rsidRDefault="0032420B" w:rsidP="001220DB">
      <w:pPr>
        <w:spacing w:after="0" w:line="480" w:lineRule="auto"/>
        <w:rPr>
          <w:sz w:val="20"/>
          <w:szCs w:val="20"/>
          <w:shd w:val="clear" w:color="auto" w:fill="FFFFFF"/>
        </w:rPr>
      </w:pPr>
      <w:proofErr w:type="spellStart"/>
      <w:r>
        <w:rPr>
          <w:sz w:val="20"/>
          <w:szCs w:val="20"/>
          <w:shd w:val="clear" w:color="auto" w:fill="FFFFFF"/>
        </w:rPr>
        <w:t>Eyad</w:t>
      </w:r>
      <w:proofErr w:type="spellEnd"/>
      <w:r>
        <w:rPr>
          <w:sz w:val="20"/>
          <w:szCs w:val="20"/>
          <w:shd w:val="clear" w:color="auto" w:fill="FFFFFF"/>
        </w:rPr>
        <w:t xml:space="preserve"> M O E </w:t>
      </w:r>
      <w:proofErr w:type="spellStart"/>
      <w:r>
        <w:rPr>
          <w:sz w:val="20"/>
          <w:szCs w:val="20"/>
          <w:shd w:val="clear" w:color="auto" w:fill="FFFFFF"/>
        </w:rPr>
        <w:t>Gadour</w:t>
      </w:r>
      <w:proofErr w:type="spellEnd"/>
      <w:r>
        <w:rPr>
          <w:sz w:val="20"/>
          <w:szCs w:val="20"/>
          <w:shd w:val="clear" w:color="auto" w:fill="FFFFFF"/>
        </w:rPr>
        <w:t xml:space="preserve"> MBBS MRCP</w:t>
      </w:r>
      <w:r w:rsidR="001220DB">
        <w:rPr>
          <w:sz w:val="20"/>
          <w:szCs w:val="20"/>
          <w:shd w:val="clear" w:color="auto" w:fill="FFFFFF"/>
        </w:rPr>
        <w:t>(UK) MRCP(London) AIM SCE (UK)</w:t>
      </w:r>
      <w:r>
        <w:rPr>
          <w:sz w:val="20"/>
          <w:szCs w:val="20"/>
          <w:shd w:val="clear" w:color="auto" w:fill="FFFFFF"/>
        </w:rPr>
        <w:t>*</w:t>
      </w:r>
      <w:r w:rsidR="001220DB">
        <w:rPr>
          <w:sz w:val="20"/>
          <w:szCs w:val="20"/>
          <w:shd w:val="clear" w:color="auto" w:fill="FFFFFF"/>
        </w:rPr>
        <w:t xml:space="preserve"> </w:t>
      </w:r>
    </w:p>
    <w:p w14:paraId="31B540F9" w14:textId="36854AF5" w:rsidR="001220DB" w:rsidRPr="001220DB" w:rsidRDefault="001220DB" w:rsidP="001220DB">
      <w:pPr>
        <w:spacing w:after="0" w:line="480" w:lineRule="auto"/>
        <w:rPr>
          <w:sz w:val="20"/>
          <w:szCs w:val="20"/>
          <w:shd w:val="clear" w:color="auto" w:fill="FFFFFF"/>
        </w:rPr>
      </w:pPr>
      <w:r>
        <w:rPr>
          <w:sz w:val="20"/>
          <w:szCs w:val="20"/>
          <w:shd w:val="clear" w:color="auto" w:fill="FFFFFF"/>
        </w:rPr>
        <w:t>Fairfield General Hospital-UK</w:t>
      </w:r>
    </w:p>
    <w:p w14:paraId="7A958994" w14:textId="77777777" w:rsidR="0032420B" w:rsidRDefault="0032420B" w:rsidP="0032420B">
      <w:pPr>
        <w:spacing w:after="0" w:line="480" w:lineRule="auto"/>
        <w:rPr>
          <w:b/>
          <w:bCs/>
        </w:rPr>
      </w:pPr>
      <w:r>
        <w:rPr>
          <w:b/>
          <w:bCs/>
        </w:rPr>
        <w:t xml:space="preserve">Abstract </w:t>
      </w:r>
    </w:p>
    <w:p w14:paraId="55CBE22F" w14:textId="77777777" w:rsidR="0032420B" w:rsidRDefault="0032420B" w:rsidP="0032420B">
      <w:pPr>
        <w:spacing w:after="0" w:line="480" w:lineRule="auto"/>
        <w:rPr>
          <w:b/>
          <w:bCs/>
        </w:rPr>
      </w:pPr>
      <w:r>
        <w:rPr>
          <w:b/>
          <w:bCs/>
        </w:rPr>
        <w:t xml:space="preserve">Introduction: </w:t>
      </w:r>
    </w:p>
    <w:p w14:paraId="09B102D0" w14:textId="77777777" w:rsidR="0032420B" w:rsidRDefault="0032420B" w:rsidP="0032420B">
      <w:pPr>
        <w:spacing w:after="0" w:line="480" w:lineRule="auto"/>
        <w:rPr>
          <w:shd w:val="clear" w:color="auto" w:fill="FFFFFF"/>
        </w:rPr>
      </w:pPr>
      <w:r>
        <w:rPr>
          <w:shd w:val="clear" w:color="auto" w:fill="FFFFFF"/>
        </w:rPr>
        <w:t xml:space="preserve">This literature provides a review regarding the value of checking ammonia level in hepatic </w:t>
      </w:r>
      <w:r>
        <w:rPr>
          <w:rStyle w:val="apple-converted-space"/>
          <w:shd w:val="clear" w:color="auto" w:fill="FFFFFF"/>
        </w:rPr>
        <w:t>Encephalopathy</w:t>
      </w:r>
      <w:r>
        <w:rPr>
          <w:shd w:val="clear" w:color="auto" w:fill="FFFFFF"/>
        </w:rPr>
        <w:t xml:space="preserve">. The research examines the prognosis of Ammonia level in the blood, diagnosis and management of hepatic encephalopathy. </w:t>
      </w:r>
    </w:p>
    <w:p w14:paraId="66C5A1F4" w14:textId="77777777" w:rsidR="0032420B" w:rsidRDefault="0032420B" w:rsidP="0032420B">
      <w:pPr>
        <w:spacing w:after="0" w:line="480" w:lineRule="auto"/>
        <w:rPr>
          <w:b/>
          <w:bCs/>
          <w:shd w:val="clear" w:color="auto" w:fill="FFFFFF"/>
        </w:rPr>
      </w:pPr>
      <w:r>
        <w:rPr>
          <w:b/>
          <w:bCs/>
          <w:shd w:val="clear" w:color="auto" w:fill="FFFFFF"/>
        </w:rPr>
        <w:t>Diagnosis of Hepatic Encephalopathy:</w:t>
      </w:r>
    </w:p>
    <w:p w14:paraId="46E2F6EA" w14:textId="01A16FAA" w:rsidR="0032420B" w:rsidRDefault="0032420B" w:rsidP="0032420B">
      <w:pPr>
        <w:spacing w:after="0" w:line="480" w:lineRule="auto"/>
        <w:rPr>
          <w:rStyle w:val="apple-converted-space"/>
        </w:rPr>
      </w:pPr>
      <w:r>
        <w:rPr>
          <w:shd w:val="clear" w:color="auto" w:fill="FFFFFF"/>
        </w:rPr>
        <w:t xml:space="preserve">The major clinical characteristics of diagnosis of hepatic Encephalopathy are depressed consciousness level, intellectual impairment and personality changes. During diagnosis, it is essential to detect signs suggesting hepatic encephalopathy among the patients suffering from liver disease and there is no clear indication of other causes to brain dysfunction. Thus, realization of precipitating factors indicated above supports hepatic encephalopathy diagnosis. </w:t>
      </w:r>
      <w:r>
        <w:rPr>
          <w:rStyle w:val="apple-converted-space"/>
          <w:shd w:val="clear" w:color="auto" w:fill="FFFFFF"/>
        </w:rPr>
        <w:t>The prognosis depends on the grade of liver failure, time of delivering effective treatment particularly precipitating factors and comorbidity. The progress of hepatic encephalopathy among patients with cirrhosis is correlated with a worse prediction and might cause frequent and elevated relapses. The patients with obvious hepatic encephalopathy in the hospitals have a 3.9 risk of increased mortality.</w:t>
      </w:r>
      <w:r>
        <w:rPr>
          <w:shd w:val="clear" w:color="auto" w:fill="FFFFFF"/>
        </w:rPr>
        <w:t xml:space="preserve"> Approximately 70% of having cirrhosis exhibit restrained symptoms of hepatic encephalopathy </w:t>
      </w:r>
      <w:r>
        <w:rPr>
          <w:shd w:val="clear" w:color="auto" w:fill="FFFFFF"/>
          <w:vertAlign w:val="superscript"/>
        </w:rPr>
        <w:t>(</w:t>
      </w:r>
      <w:r w:rsidR="002A7503">
        <w:rPr>
          <w:shd w:val="clear" w:color="auto" w:fill="FFFFFF"/>
          <w:vertAlign w:val="superscript"/>
        </w:rPr>
        <w:t>1</w:t>
      </w:r>
      <w:r>
        <w:rPr>
          <w:shd w:val="clear" w:color="auto" w:fill="FFFFFF"/>
          <w:vertAlign w:val="superscript"/>
        </w:rPr>
        <w:t>)</w:t>
      </w:r>
      <w:r>
        <w:rPr>
          <w:shd w:val="clear" w:color="auto" w:fill="FFFFFF"/>
        </w:rPr>
        <w:t xml:space="preserve">. These symptoms are likely to weaken patients.  Obvious hepatic encephalopathy manifests in patients suffering from cirrhosis, and the approximate infection rate is 30 to 45%. About 25 to 53% port systemic shunt surgery patients exhibit the condition. </w:t>
      </w:r>
    </w:p>
    <w:p w14:paraId="0C2750B8" w14:textId="77777777" w:rsidR="0032420B" w:rsidRDefault="0032420B" w:rsidP="0032420B">
      <w:pPr>
        <w:spacing w:after="0" w:line="480" w:lineRule="auto"/>
      </w:pPr>
      <w:r>
        <w:rPr>
          <w:b/>
          <w:bCs/>
          <w:shd w:val="clear" w:color="auto" w:fill="FFFFFF"/>
        </w:rPr>
        <w:t>Management of Hepatic Encephalopathy</w:t>
      </w:r>
    </w:p>
    <w:p w14:paraId="5B5050EC" w14:textId="7DA22D1A" w:rsidR="0032420B" w:rsidRDefault="0032420B" w:rsidP="0032420B">
      <w:pPr>
        <w:spacing w:after="0" w:line="480" w:lineRule="auto"/>
        <w:rPr>
          <w:rStyle w:val="apple-converted-space"/>
        </w:rPr>
      </w:pPr>
      <w:r>
        <w:rPr>
          <w:rStyle w:val="apple-converted-space"/>
          <w:shd w:val="clear" w:color="auto" w:fill="FFFFFF"/>
        </w:rPr>
        <w:lastRenderedPageBreak/>
        <w:t xml:space="preserve">The suitable management practices entail early diagnoses, aggressive identification of the precipitating factors and efforts to reduce severity </w:t>
      </w:r>
      <w:r>
        <w:rPr>
          <w:rStyle w:val="apple-converted-space"/>
          <w:shd w:val="clear" w:color="auto" w:fill="FFFFFF"/>
          <w:vertAlign w:val="superscript"/>
        </w:rPr>
        <w:t>(</w:t>
      </w:r>
      <w:r w:rsidR="002A7503">
        <w:rPr>
          <w:rStyle w:val="apple-converted-space"/>
          <w:shd w:val="clear" w:color="auto" w:fill="FFFFFF"/>
          <w:vertAlign w:val="superscript"/>
        </w:rPr>
        <w:t>2</w:t>
      </w:r>
      <w:r>
        <w:rPr>
          <w:rStyle w:val="apple-converted-space"/>
          <w:shd w:val="clear" w:color="auto" w:fill="FFFFFF"/>
          <w:vertAlign w:val="superscript"/>
        </w:rPr>
        <w:t>)</w:t>
      </w:r>
      <w:r>
        <w:rPr>
          <w:rStyle w:val="apple-converted-space"/>
          <w:shd w:val="clear" w:color="auto" w:fill="FFFFFF"/>
        </w:rPr>
        <w:t>. Evasion of some sedative drugs has been proposed as a key management practice. The main approaches suggested in include: c</w:t>
      </w:r>
      <w:r>
        <w:rPr>
          <w:shd w:val="clear" w:color="auto" w:fill="FFFFFF"/>
        </w:rPr>
        <w:t xml:space="preserve">hecking the level of arterial ammonia during first evaluations in patients hospitalized due to impaired mental function and or cirrhosis. In stable outpatients, ammonia levels are low. Correcting </w:t>
      </w:r>
      <w:r>
        <w:rPr>
          <w:rStyle w:val="apple-converted-space"/>
          <w:shd w:val="clear" w:color="auto" w:fill="FFFFFF"/>
        </w:rPr>
        <w:t>hepatic</w:t>
      </w:r>
      <w:r>
        <w:rPr>
          <w:shd w:val="clear" w:color="auto" w:fill="FFFFFF"/>
        </w:rPr>
        <w:t xml:space="preserve"> encephalopathy precipitants, including constipation, gastrointestinal bleeding, metabolic disturbances and hypovolemia. Providing prophylactic endotracheal intubation to patients with grade 3 or grade 4 (severe encephalopathy</w:t>
      </w:r>
      <w:proofErr w:type="gramStart"/>
      <w:r>
        <w:rPr>
          <w:rStyle w:val="apple-converted-space"/>
          <w:shd w:val="clear" w:color="auto" w:fill="FFFFFF"/>
        </w:rPr>
        <w:t>), and</w:t>
      </w:r>
      <w:proofErr w:type="gramEnd"/>
      <w:r>
        <w:rPr>
          <w:rStyle w:val="apple-converted-space"/>
          <w:shd w:val="clear" w:color="auto" w:fill="FFFFFF"/>
        </w:rPr>
        <w:t xml:space="preserve"> have aspiration risks in the intensive care unit (ICU). Lactulose and rifaximin use is useful but no superiority and can both be used if needed. </w:t>
      </w:r>
    </w:p>
    <w:p w14:paraId="333D62C6" w14:textId="158103BF" w:rsidR="0032420B" w:rsidRDefault="0032420B" w:rsidP="0032420B">
      <w:pPr>
        <w:spacing w:after="0" w:line="480" w:lineRule="auto"/>
        <w:rPr>
          <w:rStyle w:val="apple-converted-space"/>
          <w:shd w:val="clear" w:color="auto" w:fill="FFFFFF"/>
        </w:rPr>
      </w:pPr>
      <w:r>
        <w:rPr>
          <w:rStyle w:val="apple-converted-space"/>
          <w:shd w:val="clear" w:color="auto" w:fill="FFFFFF"/>
        </w:rPr>
        <w:t xml:space="preserve">Administration of </w:t>
      </w:r>
      <w:r>
        <w:rPr>
          <w:shd w:val="clear" w:color="auto" w:fill="FFFFFF"/>
        </w:rPr>
        <w:t xml:space="preserve">low-protein diets in cirrhosis patients resulted in deteriorating of established protein-energy malnutrition. Thus, protein restriction is likely to help some patients with immediate effect after episodic hepatic encephalopathy. Certainly, malnutrition is regarded as a serious clinical problem compared to hepatic encephalopathy among the patients </w:t>
      </w:r>
      <w:r>
        <w:rPr>
          <w:shd w:val="clear" w:color="auto" w:fill="FFFFFF"/>
          <w:vertAlign w:val="superscript"/>
        </w:rPr>
        <w:t>(</w:t>
      </w:r>
      <w:r w:rsidR="002A7503">
        <w:rPr>
          <w:shd w:val="clear" w:color="auto" w:fill="FFFFFF"/>
          <w:vertAlign w:val="superscript"/>
        </w:rPr>
        <w:t>3</w:t>
      </w:r>
      <w:r>
        <w:rPr>
          <w:shd w:val="clear" w:color="auto" w:fill="FFFFFF"/>
          <w:vertAlign w:val="superscript"/>
        </w:rPr>
        <w:t>)</w:t>
      </w:r>
      <w:r>
        <w:rPr>
          <w:shd w:val="clear" w:color="auto" w:fill="FFFFFF"/>
        </w:rPr>
        <w:t>.</w:t>
      </w:r>
    </w:p>
    <w:p w14:paraId="55031521" w14:textId="77777777" w:rsidR="0032420B" w:rsidRDefault="0032420B" w:rsidP="0032420B">
      <w:pPr>
        <w:spacing w:after="0" w:line="480" w:lineRule="auto"/>
        <w:rPr>
          <w:b/>
          <w:bCs/>
        </w:rPr>
      </w:pPr>
      <w:r>
        <w:rPr>
          <w:b/>
          <w:bCs/>
        </w:rPr>
        <w:t>Conclusion:</w:t>
      </w:r>
    </w:p>
    <w:p w14:paraId="724E6C9A" w14:textId="77777777" w:rsidR="0032420B" w:rsidRDefault="0032420B" w:rsidP="0032420B">
      <w:pPr>
        <w:spacing w:after="0" w:line="480" w:lineRule="auto"/>
        <w:rPr>
          <w:shd w:val="clear" w:color="auto" w:fill="FFFFFF"/>
        </w:rPr>
      </w:pPr>
      <w:r>
        <w:rPr>
          <w:shd w:val="clear" w:color="auto" w:fill="FFFFFF"/>
        </w:rPr>
        <w:t xml:space="preserve">Bloods ammonia mainly comes about due to the breakdown of the </w:t>
      </w:r>
      <w:r>
        <w:rPr>
          <w:rStyle w:val="apple-converted-space"/>
          <w:shd w:val="clear" w:color="auto" w:fill="FFFFFF"/>
        </w:rPr>
        <w:t>unabsorbed</w:t>
      </w:r>
      <w:r>
        <w:rPr>
          <w:shd w:val="clear" w:color="auto" w:fill="FFFFFF"/>
        </w:rPr>
        <w:t xml:space="preserve"> dietary protein by bacteria in the intestines. Among the hepatic encephalopathy, the levels of ammonia in the brain are higher compared to blood levels. High levels of ammonia in the blood may occur because of gastrointestinal bleeding, acute liver failure and </w:t>
      </w:r>
      <w:r>
        <w:rPr>
          <w:rStyle w:val="apple-converted-space"/>
          <w:shd w:val="clear" w:color="auto" w:fill="FFFFFF"/>
        </w:rPr>
        <w:t>chronic</w:t>
      </w:r>
      <w:r>
        <w:rPr>
          <w:shd w:val="clear" w:color="auto" w:fill="FFFFFF"/>
        </w:rPr>
        <w:t xml:space="preserve"> liver disease. The major reasons for testing ammonia levels in hepatic encephalopathy for patient who is presenting for the first time include: checking for success of treatment options, checking for liver condition following severe symptoms like excessive sleepiness and confusion, identifying disorders likely to cause brain damage, help in predicting outcomes from diagnoses carried out prognosis of hepatic encephalopathy, however, for patients who are known to have </w:t>
      </w:r>
      <w:r>
        <w:rPr>
          <w:shd w:val="clear" w:color="auto" w:fill="FFFFFF"/>
        </w:rPr>
        <w:lastRenderedPageBreak/>
        <w:t xml:space="preserve">hepatic encephalopathy, in terms of recurrent admissions or previous diagnosis, checking ammonia is not routinely </w:t>
      </w:r>
      <w:proofErr w:type="spellStart"/>
      <w:r>
        <w:rPr>
          <w:shd w:val="clear" w:color="auto" w:fill="FFFFFF"/>
        </w:rPr>
        <w:t>recommonded</w:t>
      </w:r>
      <w:proofErr w:type="spellEnd"/>
      <w:r>
        <w:rPr>
          <w:shd w:val="clear" w:color="auto" w:fill="FFFFFF"/>
        </w:rPr>
        <w:t xml:space="preserve"> and carrying out the psychometric tests may be more useful.</w:t>
      </w:r>
    </w:p>
    <w:p w14:paraId="45A93313" w14:textId="77777777" w:rsidR="0032420B" w:rsidRDefault="0032420B" w:rsidP="0032420B">
      <w:pPr>
        <w:spacing w:after="0" w:line="480" w:lineRule="auto"/>
      </w:pPr>
      <w:r>
        <w:rPr>
          <w:b/>
          <w:bCs/>
        </w:rPr>
        <w:t>Keywords:</w:t>
      </w:r>
      <w:r>
        <w:t xml:space="preserve"> Hepatic </w:t>
      </w:r>
      <w:proofErr w:type="spellStart"/>
      <w:r>
        <w:t>Encepahlopathy</w:t>
      </w:r>
      <w:proofErr w:type="spellEnd"/>
      <w:r>
        <w:t xml:space="preserve">, Ammonia level, psychometric test, Lactulose and </w:t>
      </w:r>
      <w:proofErr w:type="spellStart"/>
      <w:r>
        <w:t>refaximin</w:t>
      </w:r>
      <w:proofErr w:type="spellEnd"/>
      <w:r>
        <w:t xml:space="preserve"> </w:t>
      </w:r>
    </w:p>
    <w:p w14:paraId="3B489403" w14:textId="0CE0F763" w:rsidR="00DD2C11" w:rsidRDefault="00DD2C11"/>
    <w:p w14:paraId="2D7F5381" w14:textId="1251AA23" w:rsidR="002A7503" w:rsidRDefault="002A7503">
      <w:proofErr w:type="spellStart"/>
      <w:r>
        <w:t>Refrences</w:t>
      </w:r>
      <w:proofErr w:type="spellEnd"/>
      <w:r>
        <w:t>:</w:t>
      </w:r>
    </w:p>
    <w:p w14:paraId="61F8BCE1" w14:textId="070DB4FE" w:rsidR="002A7503" w:rsidRDefault="002A7503" w:rsidP="002A7503">
      <w:pPr>
        <w:pStyle w:val="ListParagraph"/>
        <w:numPr>
          <w:ilvl w:val="0"/>
          <w:numId w:val="1"/>
        </w:numPr>
        <w:spacing w:after="0" w:line="480" w:lineRule="auto"/>
        <w:ind w:left="0"/>
        <w:rPr>
          <w:color w:val="222222"/>
          <w:shd w:val="clear" w:color="auto" w:fill="FFFFFF"/>
        </w:rPr>
      </w:pPr>
      <w:r>
        <w:t>1-</w:t>
      </w:r>
      <w:r w:rsidRPr="002A7503">
        <w:rPr>
          <w:color w:val="222222"/>
          <w:shd w:val="clear" w:color="auto" w:fill="FFFFFF"/>
        </w:rPr>
        <w:t xml:space="preserve"> </w:t>
      </w:r>
      <w:r w:rsidRPr="001D1829">
        <w:rPr>
          <w:color w:val="222222"/>
          <w:shd w:val="clear" w:color="auto" w:fill="FFFFFF"/>
        </w:rPr>
        <w:t xml:space="preserve">Morgan TR, Moritz TE, Mendenhall CL, Haas R. Protein consumption </w:t>
      </w:r>
      <w:proofErr w:type="spellStart"/>
      <w:r w:rsidRPr="001D1829">
        <w:rPr>
          <w:color w:val="222222"/>
          <w:shd w:val="clear" w:color="auto" w:fill="FFFFFF"/>
        </w:rPr>
        <w:t>andhepatic</w:t>
      </w:r>
      <w:proofErr w:type="spellEnd"/>
      <w:r w:rsidRPr="001D1829">
        <w:rPr>
          <w:color w:val="222222"/>
          <w:shd w:val="clear" w:color="auto" w:fill="FFFFFF"/>
        </w:rPr>
        <w:t xml:space="preserve"> encephalopathy in alcoholic hepatitis. VA Cooperative Study Group#275. J Am Coll </w:t>
      </w:r>
      <w:proofErr w:type="spellStart"/>
      <w:r w:rsidRPr="001D1829">
        <w:rPr>
          <w:color w:val="222222"/>
          <w:shd w:val="clear" w:color="auto" w:fill="FFFFFF"/>
        </w:rPr>
        <w:t>Nutr</w:t>
      </w:r>
      <w:proofErr w:type="spellEnd"/>
      <w:r w:rsidRPr="001D1829">
        <w:rPr>
          <w:color w:val="222222"/>
          <w:shd w:val="clear" w:color="auto" w:fill="FFFFFF"/>
        </w:rPr>
        <w:t xml:space="preserve"> 1995; 14:152.</w:t>
      </w:r>
    </w:p>
    <w:p w14:paraId="7ABC90B3" w14:textId="77777777" w:rsidR="002A7503" w:rsidRPr="001D1829" w:rsidRDefault="002A7503" w:rsidP="002A7503">
      <w:pPr>
        <w:pStyle w:val="ListParagraph"/>
        <w:numPr>
          <w:ilvl w:val="0"/>
          <w:numId w:val="1"/>
        </w:numPr>
        <w:spacing w:after="0" w:line="480" w:lineRule="auto"/>
        <w:ind w:left="0"/>
        <w:rPr>
          <w:color w:val="222222"/>
          <w:shd w:val="clear" w:color="auto" w:fill="FFFFFF"/>
        </w:rPr>
      </w:pPr>
      <w:proofErr w:type="spellStart"/>
      <w:r w:rsidRPr="001D1829">
        <w:rPr>
          <w:color w:val="222222"/>
          <w:shd w:val="clear" w:color="auto" w:fill="FFFFFF"/>
        </w:rPr>
        <w:t>Ferenci</w:t>
      </w:r>
      <w:proofErr w:type="spellEnd"/>
      <w:r w:rsidRPr="001D1829">
        <w:rPr>
          <w:color w:val="222222"/>
          <w:shd w:val="clear" w:color="auto" w:fill="FFFFFF"/>
        </w:rPr>
        <w:t xml:space="preserve"> P, </w:t>
      </w:r>
      <w:proofErr w:type="spellStart"/>
      <w:r w:rsidRPr="001D1829">
        <w:rPr>
          <w:color w:val="222222"/>
          <w:shd w:val="clear" w:color="auto" w:fill="FFFFFF"/>
        </w:rPr>
        <w:t>Herneth</w:t>
      </w:r>
      <w:proofErr w:type="spellEnd"/>
      <w:r w:rsidRPr="001D1829">
        <w:rPr>
          <w:color w:val="222222"/>
          <w:shd w:val="clear" w:color="auto" w:fill="FFFFFF"/>
        </w:rPr>
        <w:t xml:space="preserve"> A, </w:t>
      </w:r>
      <w:proofErr w:type="spellStart"/>
      <w:r w:rsidRPr="001D1829">
        <w:rPr>
          <w:color w:val="222222"/>
          <w:shd w:val="clear" w:color="auto" w:fill="FFFFFF"/>
        </w:rPr>
        <w:t>Steindl</w:t>
      </w:r>
      <w:proofErr w:type="spellEnd"/>
      <w:r w:rsidRPr="001D1829">
        <w:rPr>
          <w:color w:val="222222"/>
          <w:shd w:val="clear" w:color="auto" w:fill="FFFFFF"/>
        </w:rPr>
        <w:t xml:space="preserve"> P. Newer approaches to therapy of </w:t>
      </w:r>
      <w:proofErr w:type="spellStart"/>
      <w:r w:rsidRPr="001D1829">
        <w:rPr>
          <w:color w:val="222222"/>
          <w:shd w:val="clear" w:color="auto" w:fill="FFFFFF"/>
        </w:rPr>
        <w:t>hepaticencephalopathy</w:t>
      </w:r>
      <w:proofErr w:type="spellEnd"/>
      <w:r w:rsidRPr="001D1829">
        <w:rPr>
          <w:color w:val="222222"/>
          <w:shd w:val="clear" w:color="auto" w:fill="FFFFFF"/>
        </w:rPr>
        <w:t xml:space="preserve">. </w:t>
      </w:r>
      <w:proofErr w:type="spellStart"/>
      <w:r w:rsidRPr="001D1829">
        <w:rPr>
          <w:color w:val="222222"/>
          <w:shd w:val="clear" w:color="auto" w:fill="FFFFFF"/>
        </w:rPr>
        <w:t>Semin</w:t>
      </w:r>
      <w:proofErr w:type="spellEnd"/>
      <w:r w:rsidRPr="001D1829">
        <w:rPr>
          <w:color w:val="222222"/>
          <w:shd w:val="clear" w:color="auto" w:fill="FFFFFF"/>
        </w:rPr>
        <w:t xml:space="preserve"> Liver Dis 1996; 16:329.</w:t>
      </w:r>
    </w:p>
    <w:p w14:paraId="78F35F8F" w14:textId="77777777" w:rsidR="002A7503" w:rsidRPr="001D1829" w:rsidRDefault="002A7503" w:rsidP="002A7503">
      <w:pPr>
        <w:pStyle w:val="ListParagraph"/>
        <w:numPr>
          <w:ilvl w:val="0"/>
          <w:numId w:val="1"/>
        </w:numPr>
        <w:spacing w:after="0" w:line="480" w:lineRule="auto"/>
        <w:ind w:left="0"/>
        <w:rPr>
          <w:color w:val="222222"/>
          <w:shd w:val="clear" w:color="auto" w:fill="FFFFFF"/>
        </w:rPr>
      </w:pPr>
      <w:r w:rsidRPr="001D1829">
        <w:rPr>
          <w:color w:val="222222"/>
          <w:shd w:val="clear" w:color="auto" w:fill="FFFFFF"/>
        </w:rPr>
        <w:t xml:space="preserve">Bianchi GP, </w:t>
      </w:r>
      <w:proofErr w:type="spellStart"/>
      <w:r w:rsidRPr="001D1829">
        <w:rPr>
          <w:color w:val="222222"/>
          <w:shd w:val="clear" w:color="auto" w:fill="FFFFFF"/>
        </w:rPr>
        <w:t>Marchesini</w:t>
      </w:r>
      <w:proofErr w:type="spellEnd"/>
      <w:r w:rsidRPr="001D1829">
        <w:rPr>
          <w:color w:val="222222"/>
          <w:shd w:val="clear" w:color="auto" w:fill="FFFFFF"/>
        </w:rPr>
        <w:t xml:space="preserve"> G, </w:t>
      </w:r>
      <w:proofErr w:type="spellStart"/>
      <w:r w:rsidRPr="001D1829">
        <w:rPr>
          <w:color w:val="222222"/>
          <w:shd w:val="clear" w:color="auto" w:fill="FFFFFF"/>
        </w:rPr>
        <w:t>Fabbri</w:t>
      </w:r>
      <w:proofErr w:type="spellEnd"/>
      <w:r w:rsidRPr="001D1829">
        <w:rPr>
          <w:color w:val="222222"/>
          <w:shd w:val="clear" w:color="auto" w:fill="FFFFFF"/>
        </w:rPr>
        <w:t xml:space="preserve"> A, et al. Vegetable versus </w:t>
      </w:r>
      <w:proofErr w:type="spellStart"/>
      <w:r w:rsidRPr="001D1829">
        <w:rPr>
          <w:color w:val="222222"/>
          <w:shd w:val="clear" w:color="auto" w:fill="FFFFFF"/>
        </w:rPr>
        <w:t>animalprotein</w:t>
      </w:r>
      <w:proofErr w:type="spellEnd"/>
      <w:r w:rsidRPr="001D1829">
        <w:rPr>
          <w:color w:val="222222"/>
          <w:shd w:val="clear" w:color="auto" w:fill="FFFFFF"/>
        </w:rPr>
        <w:t xml:space="preserve"> diet in cirrhotic patients with chronic encephalopathy. </w:t>
      </w:r>
      <w:proofErr w:type="spellStart"/>
      <w:r w:rsidRPr="001D1829">
        <w:rPr>
          <w:color w:val="222222"/>
          <w:shd w:val="clear" w:color="auto" w:fill="FFFFFF"/>
        </w:rPr>
        <w:t>Arandomized</w:t>
      </w:r>
      <w:proofErr w:type="spellEnd"/>
      <w:r w:rsidRPr="001D1829">
        <w:rPr>
          <w:color w:val="222222"/>
          <w:shd w:val="clear" w:color="auto" w:fill="FFFFFF"/>
        </w:rPr>
        <w:t xml:space="preserve"> cross-over comparison. J Intern Med 1993; 233:385.</w:t>
      </w:r>
    </w:p>
    <w:p w14:paraId="33E53204" w14:textId="77777777" w:rsidR="002A7503" w:rsidRPr="002A7503" w:rsidRDefault="002A7503" w:rsidP="002A7503">
      <w:pPr>
        <w:pStyle w:val="ListParagraph"/>
        <w:spacing w:after="0" w:line="480" w:lineRule="auto"/>
        <w:ind w:left="0"/>
        <w:rPr>
          <w:color w:val="222222"/>
          <w:shd w:val="clear" w:color="auto" w:fill="FFFFFF"/>
        </w:rPr>
      </w:pPr>
      <w:bookmarkStart w:id="0" w:name="_GoBack"/>
      <w:bookmarkEnd w:id="0"/>
    </w:p>
    <w:sectPr w:rsidR="002A7503" w:rsidRPr="002A750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F845D84"/>
    <w:multiLevelType w:val="hybridMultilevel"/>
    <w:tmpl w:val="77C8912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7419"/>
    <w:rsid w:val="001220DB"/>
    <w:rsid w:val="002A7503"/>
    <w:rsid w:val="0032420B"/>
    <w:rsid w:val="00627419"/>
    <w:rsid w:val="00DD2C1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715FBA"/>
  <w15:chartTrackingRefBased/>
  <w15:docId w15:val="{23451C19-A2ED-4F6B-9D52-DB16E3B7CA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2420B"/>
    <w:pPr>
      <w:spacing w:line="256" w:lineRule="auto"/>
    </w:pPr>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32420B"/>
  </w:style>
  <w:style w:type="paragraph" w:styleId="ListParagraph">
    <w:name w:val="List Paragraph"/>
    <w:basedOn w:val="Normal"/>
    <w:uiPriority w:val="34"/>
    <w:qFormat/>
    <w:rsid w:val="002A7503"/>
    <w:pPr>
      <w:spacing w:line="259" w:lineRule="auto"/>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953083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682</Words>
  <Characters>3894</Characters>
  <Application>Microsoft Office Word</Application>
  <DocSecurity>0</DocSecurity>
  <Lines>32</Lines>
  <Paragraphs>9</Paragraphs>
  <ScaleCrop>false</ScaleCrop>
  <Company/>
  <LinksUpToDate>false</LinksUpToDate>
  <CharactersWithSpaces>4567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EYAD GADOUR</dc:creator>
  <cp:keywords/>
  <dc:description/>
  <cp:lastModifiedBy>EYAD GADOUR</cp:lastModifiedBy>
  <cp:revision>4</cp:revision>
  <dcterms:created xsi:type="dcterms:W3CDTF">2018-06-02T10:20:00Z</dcterms:created>
  <dcterms:modified xsi:type="dcterms:W3CDTF">2018-06-10T17:59:00Z</dcterms:modified>
</cp:coreProperties>
</file>