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C4D" w:rsidRPr="00095D4A" w:rsidRDefault="00147C4D" w:rsidP="00147C4D">
      <w:pPr>
        <w:widowControl w:val="0"/>
        <w:autoSpaceDE w:val="0"/>
        <w:autoSpaceDN w:val="0"/>
        <w:bidi w:val="0"/>
        <w:adjustRightInd w:val="0"/>
        <w:spacing w:after="0" w:line="240" w:lineRule="auto"/>
        <w:ind w:left="-27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095D4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Study of the proteomic profile in patients with </w:t>
      </w:r>
      <w:proofErr w:type="spellStart"/>
      <w:r w:rsidRPr="00095D4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Crohn's</w:t>
      </w:r>
      <w:proofErr w:type="spellEnd"/>
      <w:r w:rsidRPr="00095D4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disease, its correlation with </w:t>
      </w:r>
      <w:r w:rsidRPr="00095D4A">
        <w:rPr>
          <w:rFonts w:ascii="Times New Roman" w:eastAsia="Times New Roman" w:hAnsi="Times New Roman" w:cs="Times New Roman"/>
          <w:b/>
          <w:bCs/>
          <w:sz w:val="36"/>
          <w:szCs w:val="36"/>
          <w:lang w:val="en-US" w:bidi="ar-EG"/>
        </w:rPr>
        <w:t>diagnosis</w:t>
      </w:r>
      <w:r w:rsidRPr="00095D4A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and disease activity</w:t>
      </w:r>
    </w:p>
    <w:p w:rsidR="00576AD1" w:rsidRPr="00095D4A" w:rsidRDefault="00576AD1" w:rsidP="00576AD1">
      <w:pPr>
        <w:widowControl w:val="0"/>
        <w:autoSpaceDE w:val="0"/>
        <w:autoSpaceDN w:val="0"/>
        <w:bidi w:val="0"/>
        <w:adjustRightInd w:val="0"/>
        <w:spacing w:after="0" w:line="240" w:lineRule="auto"/>
        <w:ind w:left="-27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:rsidR="00095D4A" w:rsidRDefault="003E7404" w:rsidP="003E7404">
      <w:pPr>
        <w:bidi w:val="0"/>
        <w:spacing w:after="0" w:line="240" w:lineRule="auto"/>
        <w:ind w:left="-270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en-US" w:bidi="ar-EG"/>
        </w:rPr>
      </w:pPr>
      <w:proofErr w:type="spellStart"/>
      <w:r w:rsidRPr="003E7404">
        <w:rPr>
          <w:rFonts w:asciiTheme="majorBidi" w:hAnsiTheme="majorBidi" w:cstheme="majorBidi"/>
          <w:b/>
          <w:bCs/>
          <w:sz w:val="28"/>
          <w:szCs w:val="28"/>
          <w:lang w:bidi="ar-EG"/>
        </w:rPr>
        <w:t>Ezzat</w:t>
      </w:r>
      <w:proofErr w:type="spellEnd"/>
      <w:r w:rsidRPr="003E7404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Ali Ahmed</w:t>
      </w:r>
      <w:r w:rsidRPr="003E7404"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>1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, </w:t>
      </w:r>
      <w:proofErr w:type="spellStart"/>
      <w:r w:rsidRPr="003E7404">
        <w:rPr>
          <w:rFonts w:asciiTheme="majorBidi" w:hAnsiTheme="majorBidi" w:cstheme="majorBidi"/>
          <w:b/>
          <w:bCs/>
          <w:sz w:val="28"/>
          <w:szCs w:val="28"/>
          <w:lang w:bidi="ar-EG"/>
        </w:rPr>
        <w:t>Doaa</w:t>
      </w:r>
      <w:proofErr w:type="spellEnd"/>
      <w:r w:rsidRPr="003E7404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proofErr w:type="spellStart"/>
      <w:r w:rsidRPr="003E7404">
        <w:rPr>
          <w:rFonts w:asciiTheme="majorBidi" w:hAnsiTheme="majorBidi" w:cstheme="majorBidi"/>
          <w:b/>
          <w:bCs/>
          <w:sz w:val="28"/>
          <w:szCs w:val="28"/>
          <w:lang w:bidi="ar-EG"/>
        </w:rPr>
        <w:t>Abdou</w:t>
      </w:r>
      <w:proofErr w:type="spellEnd"/>
      <w:r w:rsidRPr="003E7404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Mohamed Header</w:t>
      </w:r>
      <w:r w:rsidRPr="003E7404"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>1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, </w:t>
      </w:r>
      <w:r w:rsidR="00576AD1" w:rsidRPr="00576AD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Salah El-Din Ahmed </w:t>
      </w:r>
      <w:proofErr w:type="spellStart"/>
      <w:r w:rsidR="00576AD1" w:rsidRPr="00576AD1">
        <w:rPr>
          <w:rFonts w:asciiTheme="majorBidi" w:hAnsiTheme="majorBidi" w:cstheme="majorBidi"/>
          <w:b/>
          <w:bCs/>
          <w:sz w:val="28"/>
          <w:szCs w:val="28"/>
          <w:lang w:bidi="ar-EG"/>
        </w:rPr>
        <w:t>Badr</w:t>
      </w:r>
      <w:proofErr w:type="spellEnd"/>
      <w:r w:rsidR="00576AD1" w:rsidRPr="00576AD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El-Din</w:t>
      </w:r>
      <w:r w:rsidR="00576AD1" w:rsidRPr="00576AD1">
        <w:rPr>
          <w:rFonts w:asciiTheme="majorBidi" w:hAnsiTheme="majorBidi" w:cstheme="majorBidi"/>
          <w:b/>
          <w:bCs/>
          <w:sz w:val="28"/>
          <w:szCs w:val="28"/>
          <w:vertAlign w:val="superscript"/>
          <w:lang w:bidi="ar-EG"/>
        </w:rPr>
        <w:t>1</w:t>
      </w:r>
      <w:r w:rsidR="00576AD1" w:rsidRPr="00576AD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, , </w:t>
      </w:r>
      <w:proofErr w:type="spellStart"/>
      <w:r w:rsidR="00576AD1" w:rsidRPr="00576AD1">
        <w:rPr>
          <w:rFonts w:asciiTheme="majorBidi" w:eastAsia="Times New Roman" w:hAnsiTheme="majorBidi" w:cstheme="majorBidi"/>
          <w:b/>
          <w:bCs/>
          <w:sz w:val="28"/>
          <w:szCs w:val="28"/>
          <w:lang w:val="en-US" w:bidi="ar-EG"/>
        </w:rPr>
        <w:t>Pacint</w:t>
      </w:r>
      <w:proofErr w:type="spellEnd"/>
      <w:r w:rsidR="00576AD1" w:rsidRPr="00576AD1">
        <w:rPr>
          <w:rFonts w:asciiTheme="majorBidi" w:eastAsia="Times New Roman" w:hAnsiTheme="majorBidi" w:cstheme="majorBidi"/>
          <w:b/>
          <w:bCs/>
          <w:sz w:val="28"/>
          <w:szCs w:val="28"/>
          <w:lang w:bidi="ar-EG"/>
        </w:rPr>
        <w:t xml:space="preserve"> El-</w:t>
      </w:r>
      <w:proofErr w:type="spellStart"/>
      <w:r w:rsidR="00576AD1" w:rsidRPr="00576AD1">
        <w:rPr>
          <w:rFonts w:asciiTheme="majorBidi" w:eastAsia="Times New Roman" w:hAnsiTheme="majorBidi" w:cstheme="majorBidi"/>
          <w:b/>
          <w:bCs/>
          <w:sz w:val="28"/>
          <w:szCs w:val="28"/>
          <w:lang w:bidi="ar-EG"/>
        </w:rPr>
        <w:t>Saed</w:t>
      </w:r>
      <w:proofErr w:type="spellEnd"/>
      <w:r w:rsidR="00576AD1" w:rsidRPr="00576AD1">
        <w:rPr>
          <w:rFonts w:asciiTheme="majorBidi" w:eastAsia="Times New Roman" w:hAnsiTheme="majorBidi" w:cstheme="majorBidi"/>
          <w:b/>
          <w:bCs/>
          <w:sz w:val="28"/>
          <w:szCs w:val="28"/>
          <w:lang w:bidi="ar-EG"/>
        </w:rPr>
        <w:t xml:space="preserve"> </w:t>
      </w:r>
      <w:r w:rsidR="00576AD1" w:rsidRPr="00576AD1">
        <w:rPr>
          <w:rFonts w:asciiTheme="majorBidi" w:eastAsia="Times New Roman" w:hAnsiTheme="majorBidi" w:cstheme="majorBidi"/>
          <w:b/>
          <w:bCs/>
          <w:sz w:val="28"/>
          <w:szCs w:val="28"/>
          <w:lang w:val="en-US" w:bidi="ar-EG"/>
        </w:rPr>
        <w:t xml:space="preserve"> Moez</w:t>
      </w:r>
      <w:r w:rsidR="00576AD1" w:rsidRPr="00576AD1">
        <w:rPr>
          <w:rFonts w:asciiTheme="majorBidi" w:eastAsia="Times New Roman" w:hAnsiTheme="majorBidi" w:cstheme="majorBidi"/>
          <w:b/>
          <w:bCs/>
          <w:sz w:val="28"/>
          <w:szCs w:val="28"/>
          <w:vertAlign w:val="superscript"/>
          <w:lang w:val="en-US" w:bidi="ar-EG"/>
        </w:rPr>
        <w:t>2</w:t>
      </w:r>
      <w:r w:rsidR="00576AD1" w:rsidRPr="00576AD1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, </w:t>
      </w:r>
      <w:r w:rsidR="00576AD1" w:rsidRPr="00576AD1">
        <w:rPr>
          <w:rFonts w:asciiTheme="majorBidi" w:eastAsia="Times New Roman" w:hAnsiTheme="majorBidi" w:cstheme="majorBidi"/>
          <w:b/>
          <w:bCs/>
          <w:sz w:val="28"/>
          <w:szCs w:val="28"/>
          <w:lang w:val="en-US" w:bidi="ar-EG"/>
        </w:rPr>
        <w:t xml:space="preserve">Mohamed </w:t>
      </w:r>
      <w:proofErr w:type="spellStart"/>
      <w:r w:rsidR="00576AD1" w:rsidRPr="00576AD1">
        <w:rPr>
          <w:rFonts w:asciiTheme="majorBidi" w:eastAsia="Times New Roman" w:hAnsiTheme="majorBidi" w:cstheme="majorBidi"/>
          <w:b/>
          <w:bCs/>
          <w:sz w:val="28"/>
          <w:szCs w:val="28"/>
          <w:lang w:val="en-US" w:bidi="ar-EG"/>
        </w:rPr>
        <w:t>Eid</w:t>
      </w:r>
      <w:proofErr w:type="spellEnd"/>
      <w:r w:rsidR="00576AD1" w:rsidRPr="00576AD1">
        <w:rPr>
          <w:rFonts w:asciiTheme="majorBidi" w:eastAsia="Times New Roman" w:hAnsiTheme="majorBidi" w:cstheme="majorBidi"/>
          <w:b/>
          <w:bCs/>
          <w:sz w:val="28"/>
          <w:szCs w:val="28"/>
          <w:lang w:val="en-US" w:bidi="ar-EG"/>
        </w:rPr>
        <w:t xml:space="preserve"> Ibrahim</w:t>
      </w:r>
      <w:r w:rsidR="00576AD1" w:rsidRPr="00576AD1">
        <w:rPr>
          <w:rFonts w:asciiTheme="majorBidi" w:eastAsia="Times New Roman" w:hAnsiTheme="majorBidi" w:cstheme="majorBidi"/>
          <w:b/>
          <w:bCs/>
          <w:sz w:val="28"/>
          <w:szCs w:val="28"/>
          <w:vertAlign w:val="superscript"/>
          <w:lang w:val="en-US" w:bidi="ar-EG"/>
        </w:rPr>
        <w:t>3</w:t>
      </w:r>
      <w:r w:rsidR="00095D4A">
        <w:rPr>
          <w:rFonts w:asciiTheme="majorBidi" w:eastAsia="Times New Roman" w:hAnsiTheme="majorBidi" w:cstheme="majorBidi"/>
          <w:b/>
          <w:bCs/>
          <w:sz w:val="28"/>
          <w:szCs w:val="28"/>
          <w:lang w:val="en-US" w:bidi="ar-EG"/>
        </w:rPr>
        <w:t>.</w:t>
      </w:r>
    </w:p>
    <w:p w:rsidR="00095D4A" w:rsidRDefault="00095D4A" w:rsidP="00095D4A">
      <w:pPr>
        <w:bidi w:val="0"/>
        <w:spacing w:after="0" w:line="240" w:lineRule="auto"/>
        <w:ind w:left="-270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en-US" w:bidi="ar-EG"/>
        </w:rPr>
      </w:pPr>
    </w:p>
    <w:p w:rsidR="00095D4A" w:rsidRPr="00095D4A" w:rsidRDefault="00095D4A" w:rsidP="00095D4A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proofErr w:type="gramStart"/>
      <w:r w:rsidRPr="00095D4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Departments of Internal Medicine</w:t>
      </w:r>
      <w:r w:rsidRPr="00095D4A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/>
        </w:rPr>
        <w:t>1</w:t>
      </w:r>
      <w:r w:rsidRPr="00095D4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, Clinical Pathology </w:t>
      </w:r>
      <w:r w:rsidRPr="00095D4A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/>
        </w:rPr>
        <w:t>2</w:t>
      </w:r>
      <w:r w:rsidRPr="00095D4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,</w:t>
      </w:r>
      <w:r w:rsidRPr="00095D4A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EG"/>
        </w:rPr>
        <w:t xml:space="preserve"> </w:t>
      </w:r>
      <w:bookmarkEnd w:id="0"/>
      <w:proofErr w:type="spellStart"/>
      <w:r w:rsidRPr="00095D4A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EG"/>
        </w:rPr>
        <w:t>Radiodiagnosis</w:t>
      </w:r>
      <w:proofErr w:type="spellEnd"/>
      <w:r w:rsidRPr="00095D4A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bidi="ar-EG"/>
        </w:rPr>
        <w:t xml:space="preserve"> 3</w:t>
      </w:r>
      <w:r w:rsidRPr="00095D4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Faculty of Medicine, Alexandria University, Egypt.</w:t>
      </w:r>
      <w:proofErr w:type="gramEnd"/>
      <w:r w:rsidRPr="00095D4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576AD1" w:rsidRPr="00576AD1" w:rsidRDefault="00576AD1" w:rsidP="00095D4A">
      <w:pPr>
        <w:bidi w:val="0"/>
        <w:spacing w:after="0" w:line="240" w:lineRule="auto"/>
        <w:ind w:left="-270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vertAlign w:val="superscript"/>
          <w:lang w:val="en-US" w:bidi="ar-EG"/>
        </w:rPr>
      </w:pPr>
      <w:r w:rsidRPr="00576AD1">
        <w:rPr>
          <w:rFonts w:asciiTheme="majorBidi" w:eastAsia="Times New Roman" w:hAnsiTheme="majorBidi" w:cstheme="majorBidi"/>
          <w:b/>
          <w:bCs/>
          <w:sz w:val="28"/>
          <w:szCs w:val="28"/>
          <w:lang w:val="en-US" w:bidi="ar-EG"/>
        </w:rPr>
        <w:t xml:space="preserve"> </w:t>
      </w:r>
    </w:p>
    <w:p w:rsidR="00576AD1" w:rsidRDefault="00576AD1" w:rsidP="00576AD1">
      <w:pPr>
        <w:bidi w:val="0"/>
        <w:spacing w:after="0" w:line="240" w:lineRule="auto"/>
        <w:ind w:left="-270"/>
        <w:jc w:val="both"/>
        <w:rPr>
          <w:rFonts w:asciiTheme="majorBidi" w:eastAsia="Times New Roman" w:hAnsiTheme="majorBidi" w:cstheme="majorBidi"/>
          <w:b/>
          <w:bCs/>
          <w:sz w:val="28"/>
          <w:szCs w:val="28"/>
          <w:lang w:val="en-US"/>
        </w:rPr>
      </w:pPr>
    </w:p>
    <w:p w:rsidR="00576AD1" w:rsidRPr="00576AD1" w:rsidRDefault="00576AD1" w:rsidP="00576AD1">
      <w:pPr>
        <w:bidi w:val="0"/>
        <w:spacing w:after="0" w:line="240" w:lineRule="auto"/>
        <w:ind w:left="-270"/>
        <w:jc w:val="both"/>
        <w:rPr>
          <w:rFonts w:asciiTheme="majorBidi" w:hAnsiTheme="majorBidi" w:cstheme="majorBidi"/>
          <w:b/>
          <w:bCs/>
          <w:sz w:val="24"/>
          <w:szCs w:val="24"/>
          <w:lang w:val="en-US" w:bidi="ar-EG"/>
        </w:rPr>
      </w:pPr>
      <w:r w:rsidRPr="00576AD1">
        <w:rPr>
          <w:rFonts w:asciiTheme="majorBidi" w:hAnsiTheme="majorBidi" w:cstheme="majorBidi"/>
          <w:b/>
          <w:bCs/>
          <w:sz w:val="24"/>
          <w:szCs w:val="24"/>
          <w:lang w:val="en-US" w:bidi="ar-EG"/>
        </w:rPr>
        <w:t>Abstract:</w:t>
      </w:r>
    </w:p>
    <w:p w:rsidR="00576AD1" w:rsidRPr="00576AD1" w:rsidRDefault="00576AD1" w:rsidP="00576AD1">
      <w:pPr>
        <w:autoSpaceDE w:val="0"/>
        <w:autoSpaceDN w:val="0"/>
        <w:bidi w:val="0"/>
        <w:adjustRightInd w:val="0"/>
        <w:spacing w:after="0" w:line="240" w:lineRule="auto"/>
        <w:ind w:left="-270"/>
        <w:rPr>
          <w:rFonts w:asciiTheme="majorBidi" w:hAnsiTheme="majorBidi" w:cstheme="majorBidi"/>
          <w:lang w:val="en-US"/>
        </w:rPr>
      </w:pPr>
      <w:r w:rsidRPr="00576AD1">
        <w:rPr>
          <w:rFonts w:asciiTheme="majorBidi" w:eastAsia="Calibri" w:hAnsiTheme="majorBidi" w:cstheme="majorBidi"/>
          <w:b/>
          <w:bCs/>
          <w:sz w:val="24"/>
          <w:szCs w:val="24"/>
        </w:rPr>
        <w:t>Background:</w:t>
      </w:r>
      <w:r w:rsidRPr="00576AD1">
        <w:rPr>
          <w:rFonts w:ascii="JACAP O+ Gulliver BL" w:hAnsi="JACAP O+ Gulliver BL" w:cs="JACAP O+ Gulliver BL"/>
          <w:color w:val="000000"/>
          <w:sz w:val="16"/>
          <w:szCs w:val="16"/>
          <w:lang w:val="en-US"/>
        </w:rPr>
        <w:t xml:space="preserve"> </w:t>
      </w:r>
      <w:r w:rsidRPr="00576AD1">
        <w:rPr>
          <w:rFonts w:ascii="Times New Roman" w:eastAsia="Calibri" w:hAnsi="Times New Roman" w:cs="Times New Roman"/>
          <w:lang w:val="en-US" w:bidi="ar-EG"/>
        </w:rPr>
        <w:t>Inflammatory bowel d</w:t>
      </w:r>
      <w:r w:rsidR="004D4A51">
        <w:rPr>
          <w:rFonts w:ascii="Times New Roman" w:eastAsia="Calibri" w:hAnsi="Times New Roman" w:cs="Times New Roman"/>
          <w:lang w:val="en-US" w:bidi="ar-EG"/>
        </w:rPr>
        <w:t xml:space="preserve">iseases (IBD) include two major </w:t>
      </w:r>
      <w:r w:rsidRPr="00576AD1">
        <w:rPr>
          <w:rFonts w:ascii="Times New Roman" w:eastAsia="Calibri" w:hAnsi="Times New Roman" w:cs="Times New Roman"/>
          <w:lang w:val="en-US" w:bidi="ar-EG"/>
        </w:rPr>
        <w:t xml:space="preserve">forms of chronic intestinal disorders: </w:t>
      </w:r>
      <w:proofErr w:type="spellStart"/>
      <w:r w:rsidRPr="00576AD1">
        <w:rPr>
          <w:rFonts w:ascii="Times New Roman" w:eastAsia="Calibri" w:hAnsi="Times New Roman" w:cs="Times New Roman"/>
          <w:lang w:val="en-US" w:bidi="ar-EG"/>
        </w:rPr>
        <w:t>Crohn’s</w:t>
      </w:r>
      <w:proofErr w:type="spellEnd"/>
      <w:r w:rsidRPr="00576AD1">
        <w:rPr>
          <w:rFonts w:ascii="Times New Roman" w:eastAsia="Calibri" w:hAnsi="Times New Roman" w:cs="Times New Roman"/>
          <w:lang w:val="en-US" w:bidi="ar-EG"/>
        </w:rPr>
        <w:t xml:space="preserve"> disease (CD) and ulcerative colitis (UC)</w:t>
      </w:r>
      <w:r w:rsidRPr="00576AD1">
        <w:rPr>
          <w:rFonts w:asciiTheme="majorBidi" w:eastAsia="Calibri" w:hAnsiTheme="majorBidi" w:cstheme="majorBidi"/>
          <w:lang w:val="en-US" w:bidi="ar-EG"/>
        </w:rPr>
        <w:t>.</w:t>
      </w:r>
      <w:r w:rsidRPr="00576AD1">
        <w:rPr>
          <w:rFonts w:asciiTheme="majorBidi" w:eastAsia="Calibri" w:hAnsiTheme="majorBidi" w:cstheme="majorBidi"/>
        </w:rPr>
        <w:t xml:space="preserve"> CD can be associated with intestinal granulomas, strictures, fistulas, and </w:t>
      </w:r>
      <w:proofErr w:type="spellStart"/>
      <w:r w:rsidRPr="00576AD1">
        <w:rPr>
          <w:rFonts w:asciiTheme="majorBidi" w:eastAsia="Calibri" w:hAnsiTheme="majorBidi" w:cstheme="majorBidi"/>
        </w:rPr>
        <w:t>transmural</w:t>
      </w:r>
      <w:proofErr w:type="spellEnd"/>
      <w:r w:rsidRPr="00576AD1">
        <w:rPr>
          <w:rFonts w:asciiTheme="majorBidi" w:eastAsia="Calibri" w:hAnsiTheme="majorBidi" w:cstheme="majorBidi"/>
        </w:rPr>
        <w:t xml:space="preserve"> inflammation.</w:t>
      </w:r>
      <w:r w:rsidRPr="00576AD1">
        <w:rPr>
          <w:rFonts w:ascii="AdvTT5a2f2b6e.B" w:hAnsi="AdvTT5a2f2b6e.B" w:cs="AdvTT5a2f2b6e.B"/>
          <w:sz w:val="20"/>
          <w:szCs w:val="20"/>
          <w:lang w:val="en-US"/>
        </w:rPr>
        <w:t xml:space="preserve"> </w:t>
      </w:r>
      <w:r w:rsidRPr="00576AD1">
        <w:rPr>
          <w:rFonts w:asciiTheme="majorBidi" w:hAnsiTheme="majorBidi" w:cstheme="majorBidi"/>
          <w:lang w:val="en-US"/>
        </w:rPr>
        <w:t>A single gold standard for the diagnosis of CD is not available. The diagnosis is confirmed by clinical evaluation and a combination of endoscopic, histological, radiological, and/or biochemical investigations.</w:t>
      </w:r>
      <w:r w:rsidRPr="00576AD1">
        <w:rPr>
          <w:rFonts w:ascii="JNFEM I+ Caecilia" w:hAnsi="JNFEM I+ Caecilia" w:cs="JNFEM I+ Caecilia"/>
          <w:color w:val="000000"/>
          <w:sz w:val="15"/>
          <w:szCs w:val="15"/>
          <w:lang w:val="en-US"/>
        </w:rPr>
        <w:t xml:space="preserve"> </w:t>
      </w:r>
      <w:r w:rsidRPr="00576AD1">
        <w:rPr>
          <w:rFonts w:asciiTheme="majorBidi" w:hAnsiTheme="majorBidi" w:cstheme="majorBidi"/>
          <w:lang w:val="en-US"/>
        </w:rPr>
        <w:t>Serum protein profiling of CD was investigated in order to improve the comprehension of the pathologic mechanisms and to support the difficult diagnostic procedures currently available.</w:t>
      </w:r>
    </w:p>
    <w:p w:rsidR="00576AD1" w:rsidRPr="00576AD1" w:rsidRDefault="00576AD1" w:rsidP="00576AD1">
      <w:pPr>
        <w:autoSpaceDE w:val="0"/>
        <w:autoSpaceDN w:val="0"/>
        <w:bidi w:val="0"/>
        <w:adjustRightInd w:val="0"/>
        <w:spacing w:after="0" w:line="240" w:lineRule="auto"/>
        <w:ind w:left="-27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en-US"/>
        </w:rPr>
        <w:t>The a</w:t>
      </w:r>
      <w:r w:rsidRPr="00576AD1">
        <w:rPr>
          <w:rFonts w:asciiTheme="majorBidi" w:hAnsiTheme="majorBidi" w:cstheme="majorBidi"/>
          <w:lang w:val="en-US"/>
        </w:rPr>
        <w:t>im of the work</w:t>
      </w:r>
      <w:r>
        <w:rPr>
          <w:rFonts w:asciiTheme="majorBidi" w:hAnsiTheme="majorBidi" w:cstheme="majorBidi"/>
          <w:lang w:val="en-US"/>
        </w:rPr>
        <w:t xml:space="preserve"> is </w:t>
      </w:r>
      <w:r>
        <w:rPr>
          <w:rFonts w:asciiTheme="majorBidi" w:hAnsiTheme="majorBidi" w:cstheme="majorBidi"/>
        </w:rPr>
        <w:t>t</w:t>
      </w:r>
      <w:r w:rsidRPr="00576AD1">
        <w:rPr>
          <w:rFonts w:asciiTheme="majorBidi" w:hAnsiTheme="majorBidi" w:cstheme="majorBidi"/>
        </w:rPr>
        <w:t>o</w:t>
      </w:r>
      <w:r w:rsidRPr="00576AD1">
        <w:rPr>
          <w:rFonts w:asciiTheme="majorBidi" w:hAnsiTheme="majorBidi" w:cstheme="majorBidi"/>
          <w:lang w:val="en-US"/>
        </w:rPr>
        <w:t xml:space="preserve"> identify plasma proteomic profiles of CD cases and correlating this profile with the other diagnostic markers and activity of the disease.</w:t>
      </w:r>
      <w:r>
        <w:rPr>
          <w:rFonts w:asciiTheme="majorBidi" w:hAnsiTheme="majorBidi" w:cstheme="majorBidi"/>
        </w:rPr>
        <w:t xml:space="preserve"> </w:t>
      </w:r>
      <w:r w:rsidRPr="00576AD1">
        <w:rPr>
          <w:rFonts w:asciiTheme="majorBidi" w:eastAsia="Calibri" w:hAnsiTheme="majorBidi" w:cstheme="majorBidi"/>
          <w:b/>
          <w:bCs/>
        </w:rPr>
        <w:t>Methods:</w:t>
      </w:r>
      <w:r w:rsidRPr="00576AD1">
        <w:rPr>
          <w:rFonts w:asciiTheme="majorBidi" w:eastAsia="Calibri" w:hAnsiTheme="majorBidi" w:cstheme="majorBidi"/>
        </w:rPr>
        <w:t xml:space="preserve"> </w:t>
      </w:r>
      <w:r w:rsidRPr="00576AD1">
        <w:rPr>
          <w:rFonts w:asciiTheme="majorBidi" w:eastAsia="Calibri" w:hAnsiTheme="majorBidi" w:cstheme="majorBidi"/>
          <w:lang w:val="en-US"/>
        </w:rPr>
        <w:t xml:space="preserve">We performed a study with 64 plasma samples collected from patients classified in 2 groups (31 </w:t>
      </w:r>
      <w:proofErr w:type="spellStart"/>
      <w:r w:rsidRPr="00576AD1">
        <w:rPr>
          <w:rFonts w:asciiTheme="majorBidi" w:eastAsia="Calibri" w:hAnsiTheme="majorBidi" w:cstheme="majorBidi"/>
          <w:lang w:val="en-US"/>
        </w:rPr>
        <w:t>crohn's</w:t>
      </w:r>
      <w:proofErr w:type="spellEnd"/>
      <w:r w:rsidRPr="00576AD1">
        <w:rPr>
          <w:rFonts w:asciiTheme="majorBidi" w:eastAsia="Calibri" w:hAnsiTheme="majorBidi" w:cstheme="majorBidi"/>
          <w:lang w:val="en-US"/>
        </w:rPr>
        <w:t xml:space="preserve"> disease, 33 healthy controls) according to accredited criteria. </w:t>
      </w:r>
      <w:r w:rsidRPr="00576AD1">
        <w:rPr>
          <w:rFonts w:asciiTheme="majorBidi" w:eastAsia="Calibri" w:hAnsiTheme="majorBidi" w:cstheme="majorBidi"/>
        </w:rPr>
        <w:t xml:space="preserve">They were subjected to: complete history taking, thorough clinical examination, Laboratory investigations (Erythrocyte sedimentation rate ESR, C- reactive protein CPP, </w:t>
      </w:r>
      <w:proofErr w:type="spellStart"/>
      <w:r w:rsidRPr="00576AD1">
        <w:rPr>
          <w:rFonts w:asciiTheme="majorBidi" w:eastAsia="Calibri" w:hAnsiTheme="majorBidi" w:cstheme="majorBidi"/>
        </w:rPr>
        <w:t>fecal</w:t>
      </w:r>
      <w:proofErr w:type="spellEnd"/>
      <w:r w:rsidRPr="00576AD1">
        <w:rPr>
          <w:rFonts w:asciiTheme="majorBidi" w:eastAsia="Calibri" w:hAnsiTheme="majorBidi" w:cstheme="majorBidi"/>
        </w:rPr>
        <w:t xml:space="preserve"> </w:t>
      </w:r>
      <w:proofErr w:type="spellStart"/>
      <w:r w:rsidRPr="00576AD1">
        <w:rPr>
          <w:rFonts w:asciiTheme="majorBidi" w:eastAsia="Calibri" w:hAnsiTheme="majorBidi" w:cstheme="majorBidi"/>
        </w:rPr>
        <w:t>calprotectin</w:t>
      </w:r>
      <w:proofErr w:type="spellEnd"/>
      <w:r w:rsidRPr="00576AD1">
        <w:rPr>
          <w:rFonts w:asciiTheme="majorBidi" w:eastAsia="Calibri" w:hAnsiTheme="majorBidi" w:cstheme="majorBidi"/>
        </w:rPr>
        <w:t>,</w:t>
      </w:r>
      <w:r w:rsidR="004D4A51">
        <w:rPr>
          <w:rFonts w:asciiTheme="majorBidi" w:eastAsia="Calibri" w:hAnsiTheme="majorBidi" w:cstheme="majorBidi"/>
        </w:rPr>
        <w:t xml:space="preserve"> </w:t>
      </w:r>
      <w:r w:rsidR="004D4A51" w:rsidRPr="004D4A51">
        <w:rPr>
          <w:rFonts w:asciiTheme="majorBidi" w:eastAsia="Calibri" w:hAnsiTheme="majorBidi" w:cstheme="majorBidi"/>
        </w:rPr>
        <w:t xml:space="preserve">Anti-Saccharomyces </w:t>
      </w:r>
      <w:proofErr w:type="spellStart"/>
      <w:r w:rsidR="004D4A51" w:rsidRPr="004D4A51">
        <w:rPr>
          <w:rFonts w:asciiTheme="majorBidi" w:eastAsia="Calibri" w:hAnsiTheme="majorBidi" w:cstheme="majorBidi"/>
        </w:rPr>
        <w:t>cerevisiae</w:t>
      </w:r>
      <w:proofErr w:type="spellEnd"/>
      <w:r w:rsidR="004D4A51" w:rsidRPr="004D4A51">
        <w:rPr>
          <w:rFonts w:asciiTheme="majorBidi" w:eastAsia="Calibri" w:hAnsiTheme="majorBidi" w:cstheme="majorBidi"/>
        </w:rPr>
        <w:t xml:space="preserve"> antibodies</w:t>
      </w:r>
      <w:r w:rsidRPr="00576AD1">
        <w:rPr>
          <w:rFonts w:asciiTheme="majorBidi" w:eastAsia="Calibri" w:hAnsiTheme="majorBidi" w:cstheme="majorBidi"/>
        </w:rPr>
        <w:t xml:space="preserve"> ASCA), </w:t>
      </w:r>
      <w:proofErr w:type="spellStart"/>
      <w:r w:rsidRPr="00576AD1">
        <w:rPr>
          <w:rFonts w:asciiTheme="majorBidi" w:eastAsia="Calibri" w:hAnsiTheme="majorBidi" w:cstheme="majorBidi"/>
        </w:rPr>
        <w:t>ileocolonscopy</w:t>
      </w:r>
      <w:proofErr w:type="spellEnd"/>
      <w:r w:rsidRPr="00576AD1">
        <w:rPr>
          <w:rFonts w:asciiTheme="majorBidi" w:eastAsia="Calibri" w:hAnsiTheme="majorBidi" w:cstheme="majorBidi"/>
        </w:rPr>
        <w:t xml:space="preserve">, histopathology, </w:t>
      </w:r>
      <w:r w:rsidR="004D4A51" w:rsidRPr="00576AD1">
        <w:rPr>
          <w:rFonts w:asciiTheme="majorBidi" w:eastAsia="Calibri" w:hAnsiTheme="majorBidi" w:cstheme="majorBidi"/>
        </w:rPr>
        <w:t>imaging were</w:t>
      </w:r>
      <w:r w:rsidRPr="00576AD1">
        <w:rPr>
          <w:rFonts w:asciiTheme="majorBidi" w:eastAsia="Calibri" w:hAnsiTheme="majorBidi" w:cstheme="majorBidi"/>
        </w:rPr>
        <w:t xml:space="preserve"> done</w:t>
      </w:r>
      <w:r w:rsidRPr="00576AD1">
        <w:rPr>
          <w:rFonts w:asciiTheme="majorBidi" w:eastAsia="Calibri" w:hAnsiTheme="majorBidi" w:cstheme="majorBidi"/>
          <w:lang w:val="en-US"/>
        </w:rPr>
        <w:t xml:space="preserve">. </w:t>
      </w:r>
      <w:r w:rsidRPr="00576AD1">
        <w:rPr>
          <w:rFonts w:asciiTheme="majorBidi" w:eastAsia="Calibri" w:hAnsiTheme="majorBidi" w:cstheme="majorBidi"/>
        </w:rPr>
        <w:t xml:space="preserve">Plasma proteomic pattern of CD patients and control subjects was determined using Matrix-Assisted Laser Desorption/Ionization (MALDI) Time </w:t>
      </w:r>
      <w:proofErr w:type="gramStart"/>
      <w:r w:rsidRPr="00576AD1">
        <w:rPr>
          <w:rFonts w:asciiTheme="majorBidi" w:eastAsia="Calibri" w:hAnsiTheme="majorBidi" w:cstheme="majorBidi"/>
        </w:rPr>
        <w:t>Of</w:t>
      </w:r>
      <w:proofErr w:type="gramEnd"/>
      <w:r w:rsidRPr="00576AD1">
        <w:rPr>
          <w:rFonts w:asciiTheme="majorBidi" w:eastAsia="Calibri" w:hAnsiTheme="majorBidi" w:cstheme="majorBidi"/>
        </w:rPr>
        <w:t xml:space="preserve"> Flight (TOF) Mass Spectrometer (MS) analysis</w:t>
      </w:r>
      <w:r w:rsidRPr="00576AD1">
        <w:rPr>
          <w:rFonts w:asciiTheme="majorBidi" w:eastAsia="Calibri" w:hAnsiTheme="majorBidi" w:cstheme="majorBidi"/>
          <w:lang w:val="en-US"/>
        </w:rPr>
        <w:t xml:space="preserve">, </w:t>
      </w:r>
      <w:r w:rsidRPr="00576AD1">
        <w:rPr>
          <w:rFonts w:asciiTheme="majorBidi" w:eastAsia="Calibri" w:hAnsiTheme="majorBidi" w:cstheme="majorBidi"/>
        </w:rPr>
        <w:t xml:space="preserve">all plasma samples were subjected to solid-phase extraction (SPE). The spectra obtained from all the samples were analysed using </w:t>
      </w:r>
      <w:proofErr w:type="spellStart"/>
      <w:r w:rsidRPr="00576AD1">
        <w:rPr>
          <w:rFonts w:asciiTheme="majorBidi" w:eastAsia="Calibri" w:hAnsiTheme="majorBidi" w:cstheme="majorBidi"/>
        </w:rPr>
        <w:t>ClinProTool</w:t>
      </w:r>
      <w:proofErr w:type="spellEnd"/>
      <w:r w:rsidRPr="00576AD1">
        <w:rPr>
          <w:rFonts w:asciiTheme="majorBidi" w:eastAsia="Calibri" w:hAnsiTheme="majorBidi" w:cstheme="majorBidi"/>
        </w:rPr>
        <w:t xml:space="preserve"> software.</w:t>
      </w:r>
    </w:p>
    <w:p w:rsidR="00576AD1" w:rsidRPr="00576AD1" w:rsidRDefault="00576AD1" w:rsidP="00576AD1">
      <w:pPr>
        <w:bidi w:val="0"/>
        <w:spacing w:line="240" w:lineRule="auto"/>
        <w:ind w:left="-270"/>
        <w:jc w:val="both"/>
        <w:rPr>
          <w:rFonts w:asciiTheme="majorBidi" w:hAnsiTheme="majorBidi" w:cstheme="majorBidi"/>
          <w:lang w:val="en-US"/>
        </w:rPr>
      </w:pPr>
      <w:r w:rsidRPr="00576AD1">
        <w:rPr>
          <w:rFonts w:asciiTheme="majorBidi" w:hAnsiTheme="majorBidi" w:cstheme="majorBidi"/>
          <w:b/>
          <w:bCs/>
          <w:lang w:val="en-US"/>
        </w:rPr>
        <w:t>Results:</w:t>
      </w:r>
      <w:r w:rsidRPr="00576AD1">
        <w:rPr>
          <w:rFonts w:asciiTheme="majorBidi" w:hAnsiTheme="majorBidi" w:cstheme="majorBidi"/>
          <w:b/>
          <w:bCs/>
          <w:i/>
          <w:iCs/>
          <w:lang w:val="en-US"/>
        </w:rPr>
        <w:t xml:space="preserve"> </w:t>
      </w:r>
      <w:r w:rsidRPr="00576AD1">
        <w:rPr>
          <w:rFonts w:asciiTheme="majorBidi" w:hAnsiTheme="majorBidi" w:cstheme="majorBidi"/>
        </w:rPr>
        <w:t>There was a statistical significant difference of the plasma proteome profiles of CD group in comparison to health volunteers</w:t>
      </w:r>
      <w:r w:rsidRPr="00576AD1">
        <w:rPr>
          <w:rFonts w:asciiTheme="majorBidi" w:hAnsiTheme="majorBidi" w:cstheme="majorBidi"/>
          <w:lang w:val="en-US"/>
        </w:rPr>
        <w:t xml:space="preserve">. 76 peptide peaks were identified by the </w:t>
      </w:r>
      <w:proofErr w:type="spellStart"/>
      <w:r w:rsidRPr="00576AD1">
        <w:rPr>
          <w:rFonts w:asciiTheme="majorBidi" w:hAnsiTheme="majorBidi" w:cstheme="majorBidi"/>
          <w:lang w:val="en-US"/>
        </w:rPr>
        <w:t>ClinProt</w:t>
      </w:r>
      <w:proofErr w:type="spellEnd"/>
      <w:r w:rsidRPr="00576AD1">
        <w:rPr>
          <w:rFonts w:asciiTheme="majorBidi" w:hAnsiTheme="majorBidi" w:cstheme="majorBidi"/>
          <w:lang w:val="en-US"/>
        </w:rPr>
        <w:t xml:space="preserve"> software with a statistically different area, 5</w:t>
      </w:r>
      <w:r w:rsidRPr="00576AD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576AD1">
        <w:rPr>
          <w:rFonts w:asciiTheme="majorBidi" w:hAnsiTheme="majorBidi" w:cstheme="majorBidi"/>
          <w:lang w:val="en-US"/>
        </w:rPr>
        <w:t>peptide peaks were highly significant</w:t>
      </w:r>
      <w:r w:rsidRPr="00576AD1">
        <w:rPr>
          <w:rFonts w:asciiTheme="majorBidi" w:hAnsiTheme="majorBidi" w:cstheme="majorBidi"/>
        </w:rPr>
        <w:t xml:space="preserve">. </w:t>
      </w:r>
      <w:r w:rsidRPr="00576AD1">
        <w:rPr>
          <w:rFonts w:asciiTheme="majorBidi" w:hAnsiTheme="majorBidi" w:cstheme="majorBidi"/>
          <w:lang w:val="en-US"/>
        </w:rPr>
        <w:t xml:space="preserve">Sensitivity was found to be 91.7%, specificity was 78.6%, PPV was 90, NPV was 77.5 and </w:t>
      </w:r>
      <w:proofErr w:type="spellStart"/>
      <w:r w:rsidRPr="00576AD1">
        <w:rPr>
          <w:rFonts w:asciiTheme="majorBidi" w:hAnsiTheme="majorBidi" w:cstheme="majorBidi"/>
          <w:lang w:val="en-US"/>
        </w:rPr>
        <w:t>Youden</w:t>
      </w:r>
      <w:proofErr w:type="spellEnd"/>
      <w:r w:rsidRPr="00576AD1">
        <w:rPr>
          <w:rFonts w:asciiTheme="majorBidi" w:hAnsiTheme="majorBidi" w:cstheme="majorBidi"/>
          <w:lang w:val="en-US"/>
        </w:rPr>
        <w:t xml:space="preserve"> Index was 0.88. </w:t>
      </w:r>
      <w:r w:rsidRPr="00576AD1">
        <w:rPr>
          <w:rFonts w:asciiTheme="majorBidi" w:hAnsiTheme="majorBidi" w:cstheme="majorBidi"/>
        </w:rPr>
        <w:t>There was a statistical significant difference</w:t>
      </w:r>
      <w:r w:rsidRPr="00576AD1">
        <w:rPr>
          <w:rFonts w:asciiTheme="majorBidi" w:hAnsiTheme="majorBidi" w:cstheme="majorBidi"/>
          <w:lang w:val="en-US"/>
        </w:rPr>
        <w:t xml:space="preserve"> between active versus inactive CD group, 5</w:t>
      </w:r>
      <w:r w:rsidRPr="00576AD1">
        <w:rPr>
          <w:rFonts w:ascii="Times New Roman" w:hAnsi="Times New Roman" w:cs="Times New Roman"/>
          <w:color w:val="000000" w:themeColor="text1"/>
          <w:szCs w:val="20"/>
          <w:lang w:val="en-US"/>
        </w:rPr>
        <w:t xml:space="preserve"> </w:t>
      </w:r>
      <w:r w:rsidRPr="00576AD1">
        <w:rPr>
          <w:rFonts w:asciiTheme="majorBidi" w:hAnsiTheme="majorBidi" w:cstheme="majorBidi"/>
          <w:lang w:val="en-US"/>
        </w:rPr>
        <w:t>Integration Regions used for classification between active and inactive CD patients using Genetic Algorithm model (GA) which gave 81.43% cross validation and 100% recognition capability.</w:t>
      </w:r>
      <w:r w:rsidRPr="00576AD1">
        <w:rPr>
          <w:rFonts w:asciiTheme="majorBidi" w:hAnsiTheme="majorBidi" w:cstheme="majorBidi"/>
          <w:lang w:val="en-US" w:bidi="ar-EG"/>
        </w:rPr>
        <w:t xml:space="preserve"> Markers as ESR, CRP, fecal </w:t>
      </w:r>
      <w:proofErr w:type="spellStart"/>
      <w:r w:rsidRPr="00576AD1">
        <w:rPr>
          <w:rFonts w:asciiTheme="majorBidi" w:hAnsiTheme="majorBidi" w:cstheme="majorBidi"/>
          <w:lang w:val="en-US" w:bidi="ar-EG"/>
        </w:rPr>
        <w:t>calprotectin</w:t>
      </w:r>
      <w:proofErr w:type="spellEnd"/>
      <w:r w:rsidRPr="00576AD1">
        <w:rPr>
          <w:rFonts w:asciiTheme="majorBidi" w:hAnsiTheme="majorBidi" w:cstheme="majorBidi"/>
          <w:lang w:val="en-US" w:bidi="ar-EG"/>
        </w:rPr>
        <w:t>, ASCA are statistically correlated to the plasma proteomics found in CD patients.</w:t>
      </w:r>
      <w:r w:rsidR="004D4A51">
        <w:rPr>
          <w:rFonts w:asciiTheme="majorBidi" w:hAnsiTheme="majorBidi" w:cstheme="majorBidi"/>
          <w:lang w:val="en-US" w:bidi="ar-EG"/>
        </w:rPr>
        <w:t xml:space="preserve"> </w:t>
      </w:r>
      <w:r w:rsidRPr="00576AD1">
        <w:rPr>
          <w:rFonts w:asciiTheme="majorBidi" w:hAnsiTheme="majorBidi" w:cstheme="majorBidi"/>
          <w:b/>
          <w:bCs/>
          <w:lang w:val="en-US"/>
        </w:rPr>
        <w:t>Conclusion:</w:t>
      </w:r>
      <w:r w:rsidRPr="00576AD1">
        <w:rPr>
          <w:rFonts w:asciiTheme="majorBidi" w:hAnsiTheme="majorBidi" w:cstheme="majorBidi"/>
        </w:rPr>
        <w:t xml:space="preserve"> </w:t>
      </w:r>
      <w:r w:rsidRPr="00576AD1">
        <w:rPr>
          <w:rFonts w:asciiTheme="majorBidi" w:hAnsiTheme="majorBidi" w:cstheme="majorBidi"/>
          <w:lang w:val="en-US"/>
        </w:rPr>
        <w:t>Proteomic profile has the potential to improve diagnosis and evaluate CD activity, reducing the need for more invasive techniques. Plasma proteome profile of CD was</w:t>
      </w:r>
      <w:r w:rsidRPr="00576AD1">
        <w:rPr>
          <w:rFonts w:asciiTheme="majorBidi" w:eastAsia="Calibri" w:hAnsiTheme="majorBidi" w:cstheme="majorBidi"/>
        </w:rPr>
        <w:t xml:space="preserve"> statistically correlated to other markers</w:t>
      </w:r>
      <w:r w:rsidRPr="00576AD1">
        <w:rPr>
          <w:rFonts w:asciiTheme="majorBidi" w:hAnsiTheme="majorBidi" w:cstheme="majorBidi"/>
          <w:lang w:val="en-US"/>
        </w:rPr>
        <w:t>.</w:t>
      </w:r>
    </w:p>
    <w:p w:rsidR="00576AD1" w:rsidRPr="00576AD1" w:rsidRDefault="00576AD1" w:rsidP="00576AD1">
      <w:pPr>
        <w:bidi w:val="0"/>
        <w:spacing w:after="0" w:line="240" w:lineRule="auto"/>
        <w:ind w:left="-270"/>
        <w:jc w:val="both"/>
        <w:rPr>
          <w:rFonts w:asciiTheme="majorBidi" w:hAnsiTheme="majorBidi" w:cstheme="majorBidi"/>
          <w:lang w:val="en-US"/>
        </w:rPr>
      </w:pPr>
      <w:r w:rsidRPr="00576AD1">
        <w:rPr>
          <w:rFonts w:asciiTheme="majorBidi" w:hAnsiTheme="majorBidi" w:cstheme="majorBidi"/>
          <w:b/>
          <w:bCs/>
          <w:lang w:val="en-US"/>
        </w:rPr>
        <w:t>Keywords</w:t>
      </w:r>
      <w:r w:rsidRPr="00576AD1">
        <w:rPr>
          <w:rFonts w:asciiTheme="majorBidi" w:hAnsiTheme="majorBidi" w:cstheme="majorBidi"/>
          <w:lang w:val="en-US"/>
        </w:rPr>
        <w:t xml:space="preserve">: Proteomics; CD; Biomarkers; </w:t>
      </w:r>
      <w:r w:rsidRPr="00576AD1">
        <w:rPr>
          <w:rFonts w:asciiTheme="majorBidi" w:hAnsiTheme="majorBidi" w:cstheme="majorBidi"/>
        </w:rPr>
        <w:t>(MALDI) TOF MS</w:t>
      </w:r>
      <w:r w:rsidRPr="00576AD1">
        <w:rPr>
          <w:rFonts w:asciiTheme="majorBidi" w:hAnsiTheme="majorBidi" w:cstheme="majorBidi"/>
          <w:lang w:val="en-US"/>
        </w:rPr>
        <w:t>; Inflammation; Serum profiling</w:t>
      </w:r>
    </w:p>
    <w:p w:rsidR="00576AD1" w:rsidRPr="00576AD1" w:rsidRDefault="00576AD1" w:rsidP="00576AD1">
      <w:pPr>
        <w:bidi w:val="0"/>
        <w:spacing w:after="0" w:line="240" w:lineRule="auto"/>
        <w:ind w:left="-270"/>
        <w:jc w:val="both"/>
        <w:rPr>
          <w:rFonts w:asciiTheme="majorBidi" w:hAnsiTheme="majorBidi" w:cstheme="majorBidi"/>
          <w:b/>
          <w:bCs/>
          <w:highlight w:val="yellow"/>
          <w:lang w:val="en-US"/>
        </w:rPr>
      </w:pPr>
    </w:p>
    <w:p w:rsidR="00576AD1" w:rsidRPr="00576AD1" w:rsidRDefault="00576AD1" w:rsidP="00576AD1">
      <w:pPr>
        <w:bidi w:val="0"/>
        <w:spacing w:after="0" w:line="240" w:lineRule="auto"/>
        <w:ind w:left="-270"/>
        <w:jc w:val="both"/>
        <w:rPr>
          <w:rFonts w:asciiTheme="majorBidi" w:hAnsiTheme="majorBidi" w:cstheme="majorBidi"/>
          <w:b/>
          <w:bCs/>
          <w:highlight w:val="yellow"/>
          <w:lang w:val="en-US"/>
        </w:rPr>
      </w:pPr>
    </w:p>
    <w:p w:rsidR="00576AD1" w:rsidRPr="00576AD1" w:rsidRDefault="00576AD1" w:rsidP="00576AD1">
      <w:pPr>
        <w:autoSpaceDE w:val="0"/>
        <w:autoSpaceDN w:val="0"/>
        <w:bidi w:val="0"/>
        <w:adjustRightInd w:val="0"/>
        <w:spacing w:after="0" w:line="240" w:lineRule="auto"/>
        <w:ind w:left="-270"/>
        <w:rPr>
          <w:rFonts w:asciiTheme="majorBidi" w:hAnsiTheme="majorBidi" w:cstheme="majorBidi"/>
          <w:sz w:val="20"/>
          <w:szCs w:val="20"/>
          <w:lang w:val="en-US"/>
        </w:rPr>
      </w:pPr>
    </w:p>
    <w:p w:rsidR="00B72231" w:rsidRPr="00B72231" w:rsidRDefault="00B72231" w:rsidP="00B72231">
      <w:pPr>
        <w:bidi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en-US"/>
        </w:rPr>
      </w:pPr>
      <w:r w:rsidRPr="00B72231">
        <w:rPr>
          <w:rFonts w:ascii="Times New Roman" w:eastAsia="Calibri" w:hAnsi="Times New Roman" w:cs="Times New Roman"/>
          <w:b/>
          <w:bCs/>
          <w:lang w:val="en-US"/>
        </w:rPr>
        <w:t xml:space="preserve">Author: </w:t>
      </w:r>
      <w:proofErr w:type="spellStart"/>
      <w:r w:rsidRPr="00B72231">
        <w:rPr>
          <w:rFonts w:ascii="Times New Roman" w:eastAsia="Calibri" w:hAnsi="Times New Roman" w:cs="Times New Roman"/>
          <w:b/>
          <w:bCs/>
        </w:rPr>
        <w:t>Ezzat</w:t>
      </w:r>
      <w:proofErr w:type="spellEnd"/>
      <w:r w:rsidRPr="00B72231">
        <w:rPr>
          <w:rFonts w:ascii="Times New Roman" w:eastAsia="Calibri" w:hAnsi="Times New Roman" w:cs="Times New Roman"/>
          <w:b/>
          <w:bCs/>
        </w:rPr>
        <w:t xml:space="preserve"> Ali Ahmed</w:t>
      </w:r>
      <w:r w:rsidRPr="00B72231">
        <w:rPr>
          <w:rFonts w:ascii="Times New Roman" w:eastAsia="Calibri" w:hAnsi="Times New Roman" w:cs="Times New Roman"/>
          <w:b/>
          <w:bCs/>
          <w:vertAlign w:val="superscript"/>
        </w:rPr>
        <w:t>1</w:t>
      </w:r>
    </w:p>
    <w:p w:rsidR="00147C4D" w:rsidRPr="00147C4D" w:rsidRDefault="00B72231" w:rsidP="00B72231">
      <w:pPr>
        <w:bidi w:val="0"/>
        <w:rPr>
          <w:rFonts w:asciiTheme="majorBidi" w:hAnsiTheme="majorBidi" w:cstheme="majorBidi"/>
          <w:sz w:val="24"/>
          <w:szCs w:val="24"/>
          <w:lang w:val="en-US" w:bidi="ar-EG"/>
        </w:rPr>
      </w:pPr>
      <w:r w:rsidRPr="00B72231">
        <w:rPr>
          <w:rFonts w:ascii="Times New Roman" w:eastAsia="Calibri" w:hAnsi="Times New Roman" w:cs="Times New Roman"/>
          <w:b/>
          <w:bCs/>
          <w:lang w:val="en-US"/>
        </w:rPr>
        <w:t>Contacts: ezzatali64@yahoo.com, Tel: 201227606906</w:t>
      </w:r>
    </w:p>
    <w:sectPr w:rsidR="00147C4D" w:rsidRPr="00147C4D" w:rsidSect="0022690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JACAP O+ Gulliver B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5a2f2b6e.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NFEM I+ Caecili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C4D"/>
    <w:rsid w:val="00095D4A"/>
    <w:rsid w:val="00147C4D"/>
    <w:rsid w:val="0022690F"/>
    <w:rsid w:val="00294AEC"/>
    <w:rsid w:val="003E7404"/>
    <w:rsid w:val="004D4A51"/>
    <w:rsid w:val="00576AD1"/>
    <w:rsid w:val="00650809"/>
    <w:rsid w:val="00B72231"/>
    <w:rsid w:val="00DE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3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2017-08-11T17:36:00Z</dcterms:created>
  <dcterms:modified xsi:type="dcterms:W3CDTF">2018-05-31T09:49:00Z</dcterms:modified>
</cp:coreProperties>
</file>