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F2B" w:rsidRDefault="002C0F2B" w:rsidP="001F414A">
      <w:pPr>
        <w:jc w:val="both"/>
        <w:rPr>
          <w:sz w:val="22"/>
          <w:szCs w:val="22"/>
          <w:lang w:val="en-GB"/>
        </w:rPr>
      </w:pPr>
      <w:r>
        <w:rPr>
          <w:sz w:val="22"/>
          <w:szCs w:val="22"/>
          <w:lang w:val="en-GB"/>
        </w:rPr>
        <w:t xml:space="preserve">                                                                                                                       </w:t>
      </w:r>
      <w:r w:rsidR="00B63CA9" w:rsidRPr="002C0F2B">
        <w:rPr>
          <w:noProof/>
          <w:sz w:val="22"/>
          <w:szCs w:val="22"/>
          <w:lang w:val="en-GB"/>
        </w:rPr>
        <w:drawing>
          <wp:inline distT="0" distB="0" distL="0" distR="0">
            <wp:extent cx="1425575" cy="1414145"/>
            <wp:effectExtent l="0" t="0" r="0" b="0"/>
            <wp:docPr id="1" name="Picture 1" descr="dumm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descr="dummy"/>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5575" cy="1414145"/>
                    </a:xfrm>
                    <a:prstGeom prst="rect">
                      <a:avLst/>
                    </a:prstGeom>
                    <a:noFill/>
                    <a:ln>
                      <a:noFill/>
                    </a:ln>
                  </pic:spPr>
                </pic:pic>
              </a:graphicData>
            </a:graphic>
          </wp:inline>
        </w:drawing>
      </w:r>
    </w:p>
    <w:p w:rsidR="00607A75" w:rsidRDefault="00607A75" w:rsidP="00441270">
      <w:pPr>
        <w:rPr>
          <w:rFonts w:eastAsia="MS PGothic"/>
          <w:b/>
          <w:color w:val="000000"/>
          <w:sz w:val="28"/>
          <w:szCs w:val="28"/>
        </w:rPr>
      </w:pPr>
      <w:r w:rsidRPr="00607A75">
        <w:rPr>
          <w:rFonts w:eastAsia="MS PGothic"/>
          <w:b/>
          <w:color w:val="000000"/>
          <w:sz w:val="28"/>
          <w:szCs w:val="28"/>
        </w:rPr>
        <w:t>Intussusception:  Highlighted  Aspects</w:t>
      </w:r>
    </w:p>
    <w:p w:rsidR="00AC3BCD" w:rsidRPr="00441270" w:rsidRDefault="00AC3BCD" w:rsidP="00441270">
      <w:pPr>
        <w:rPr>
          <w:rFonts w:eastAsia="MS PGothic"/>
          <w:b/>
          <w:color w:val="000000"/>
          <w:sz w:val="28"/>
          <w:szCs w:val="28"/>
        </w:rPr>
      </w:pPr>
      <w:bookmarkStart w:id="0" w:name="_GoBack"/>
      <w:bookmarkEnd w:id="0"/>
      <w:r>
        <w:rPr>
          <w:b/>
          <w:sz w:val="28"/>
          <w:szCs w:val="28"/>
        </w:rPr>
        <w:t xml:space="preserve">                                            </w:t>
      </w:r>
      <w:r w:rsidR="00441270">
        <w:rPr>
          <w:rFonts w:eastAsia="MS PGothic" w:hAnsi="Arial"/>
          <w:color w:val="000000"/>
        </w:rPr>
        <w:t>Ahmad Almaiman</w:t>
      </w:r>
    </w:p>
    <w:p w:rsidR="00AC3BCD" w:rsidRDefault="00AC3BCD" w:rsidP="00AC3BCD">
      <w:pPr>
        <w:rPr>
          <w:rFonts w:eastAsia="MS PGothic" w:hAnsi="Arial"/>
          <w:color w:val="000000"/>
        </w:rPr>
      </w:pPr>
      <w:r>
        <w:rPr>
          <w:b/>
          <w:sz w:val="28"/>
          <w:szCs w:val="28"/>
        </w:rPr>
        <w:t xml:space="preserve">                  </w:t>
      </w:r>
    </w:p>
    <w:p w:rsidR="00AC3BCD" w:rsidRDefault="00AC3BCD" w:rsidP="00AC3BCD">
      <w:pPr>
        <w:jc w:val="center"/>
        <w:rPr>
          <w:rFonts w:eastAsia="Batang"/>
          <w:color w:val="0000FF"/>
          <w:sz w:val="36"/>
          <w:szCs w:val="36"/>
        </w:rPr>
      </w:pPr>
    </w:p>
    <w:p w:rsidR="00B45897" w:rsidRDefault="00B45897" w:rsidP="00815C50">
      <w:pPr>
        <w:widowControl w:val="0"/>
        <w:autoSpaceDE w:val="0"/>
        <w:autoSpaceDN w:val="0"/>
        <w:adjustRightInd w:val="0"/>
        <w:spacing w:after="200" w:line="276" w:lineRule="auto"/>
        <w:jc w:val="both"/>
        <w:rPr>
          <w:b/>
          <w:bCs/>
          <w:sz w:val="32"/>
          <w:szCs w:val="32"/>
          <w:lang w:val="en"/>
        </w:rPr>
      </w:pPr>
      <w:r>
        <w:rPr>
          <w:b/>
          <w:bCs/>
          <w:sz w:val="32"/>
          <w:szCs w:val="32"/>
          <w:lang w:val="en"/>
        </w:rPr>
        <w:t>Abstract</w:t>
      </w:r>
    </w:p>
    <w:p w:rsidR="00AC3BCD" w:rsidRDefault="00407EC6" w:rsidP="00150979">
      <w:pPr>
        <w:jc w:val="both"/>
        <w:rPr>
          <w:color w:val="000000"/>
        </w:rPr>
      </w:pPr>
      <w:r w:rsidRPr="00407EC6">
        <w:rPr>
          <w:sz w:val="32"/>
          <w:szCs w:val="32"/>
          <w:lang w:val="en"/>
        </w:rPr>
        <w:t xml:space="preserve">Intussusception  is    a  clinical  disorder  characterized  by  the  telescoping  of  a    proximal part  of  the  bowel  into  its  distal  part.  The  point  that  </w:t>
      </w:r>
      <w:proofErr w:type="spellStart"/>
      <w:r w:rsidRPr="00407EC6">
        <w:rPr>
          <w:sz w:val="32"/>
          <w:szCs w:val="32"/>
          <w:lang w:val="en"/>
        </w:rPr>
        <w:t>invaginates</w:t>
      </w:r>
      <w:proofErr w:type="spellEnd"/>
      <w:r w:rsidRPr="00407EC6">
        <w:rPr>
          <w:sz w:val="32"/>
          <w:szCs w:val="32"/>
          <w:lang w:val="en"/>
        </w:rPr>
        <w:t xml:space="preserve">  into  its  adjacent  part  is known  as  the  "</w:t>
      </w:r>
      <w:proofErr w:type="spellStart"/>
      <w:r w:rsidRPr="00407EC6">
        <w:rPr>
          <w:sz w:val="32"/>
          <w:szCs w:val="32"/>
          <w:lang w:val="en"/>
        </w:rPr>
        <w:t>Intussusceptum</w:t>
      </w:r>
      <w:proofErr w:type="spellEnd"/>
      <w:r w:rsidRPr="00407EC6">
        <w:rPr>
          <w:sz w:val="32"/>
          <w:szCs w:val="32"/>
          <w:lang w:val="en"/>
        </w:rPr>
        <w:t>"  (also  referred  to  as  the  lead  point),  while  the  distal segment  that  receives  the  folding  is  known  as  the  ''</w:t>
      </w:r>
      <w:proofErr w:type="spellStart"/>
      <w:r w:rsidRPr="00407EC6">
        <w:rPr>
          <w:sz w:val="32"/>
          <w:szCs w:val="32"/>
          <w:lang w:val="en"/>
        </w:rPr>
        <w:t>Intussuscipien</w:t>
      </w:r>
      <w:proofErr w:type="spellEnd"/>
      <w:r w:rsidRPr="00407EC6">
        <w:rPr>
          <w:sz w:val="32"/>
          <w:szCs w:val="32"/>
          <w:lang w:val="en"/>
        </w:rPr>
        <w:t xml:space="preserve">''.  This  is  one  of  the most  important  causes  of  acute  abdomen  in  children,  particularly  infants  and  toddlers (3  months  -  3  years),  however  it  is  a  rare  condition  in  adults  and  brings  about  a  variety of   symptoms  and  patterns;  be  it  acute,  intermittent,  or  chronic.  This  disorder particularly  triggers  worrisome  matters  that  are  deemed  target  worthy  in  the  clinical setting.  One  of  these  matters  is  managing  the  possible  shock  that  comes  about  with the  excessive  compromise  of  the  mesenteric  blood  supply,  which  ends  up  thickening the   intestinal   wall   leading  to  fatal  complications  of  ischemia  and  perforation. Intussusception's  diagnostic  approach  also  happens  to  be  its  therapeutic  approach, which  is  non-operative  reduction  (be  it  air  or  barium  enema).  The  recurrence  risk  of Intussusception  is  one  that  demands  a  cautious  observation  in  an  in-patient  setting,  as the  reduction  management  helps  in  limiting  said  risk  allowing  the  recurrence  to  alter between  24  and  48  hours  onwards.  In  recent  years,  there  has  been  a  presentation  of this  disorder  in  children  who  were  provided  with  the  Rotavirus  vaccine  bringing  about different  post-marketing  surveillances  to  understand  the  possible  risks  of  developing </w:t>
      </w:r>
      <w:proofErr w:type="spellStart"/>
      <w:r w:rsidRPr="00407EC6">
        <w:rPr>
          <w:sz w:val="32"/>
          <w:szCs w:val="32"/>
          <w:lang w:val="en"/>
        </w:rPr>
        <w:t>Intussesception</w:t>
      </w:r>
      <w:proofErr w:type="spellEnd"/>
      <w:r w:rsidRPr="00407EC6">
        <w:rPr>
          <w:sz w:val="32"/>
          <w:szCs w:val="32"/>
          <w:lang w:val="en"/>
        </w:rPr>
        <w:t xml:space="preserve">.  Along  with  the  general  overview  on  the  topic  of  Intussusception  the following  highlights  will  be  included:  an  emphasis  on  the  potential  complications  of </w:t>
      </w:r>
      <w:proofErr w:type="spellStart"/>
      <w:r w:rsidRPr="00407EC6">
        <w:rPr>
          <w:sz w:val="32"/>
          <w:szCs w:val="32"/>
          <w:lang w:val="en"/>
        </w:rPr>
        <w:t>Intussesception</w:t>
      </w:r>
      <w:proofErr w:type="spellEnd"/>
      <w:r w:rsidRPr="00407EC6">
        <w:rPr>
          <w:sz w:val="32"/>
          <w:szCs w:val="32"/>
          <w:lang w:val="en"/>
        </w:rPr>
        <w:t xml:space="preserve">,  its  distinguishing  presentation  between  children  and  adults,  favoring air  over  liquid  enema  in  reduction  management,  and  </w:t>
      </w:r>
      <w:proofErr w:type="spellStart"/>
      <w:r w:rsidRPr="00407EC6">
        <w:rPr>
          <w:sz w:val="32"/>
          <w:szCs w:val="32"/>
          <w:lang w:val="en"/>
        </w:rPr>
        <w:t>Intussesception's</w:t>
      </w:r>
      <w:proofErr w:type="spellEnd"/>
      <w:r w:rsidRPr="00407EC6">
        <w:rPr>
          <w:sz w:val="32"/>
          <w:szCs w:val="32"/>
          <w:lang w:val="en"/>
        </w:rPr>
        <w:t xml:space="preserve">  increasing  risk if/when  the  Rotavirus  vaccine  is  given.</w:t>
      </w:r>
    </w:p>
    <w:p w:rsidR="00AC3BCD" w:rsidRDefault="00AC3BCD" w:rsidP="00AC3BCD">
      <w:pPr>
        <w:jc w:val="both"/>
        <w:rPr>
          <w:color w:val="000000"/>
        </w:rPr>
      </w:pPr>
    </w:p>
    <w:p w:rsidR="00407EC6" w:rsidRDefault="00407EC6" w:rsidP="00AC3BCD">
      <w:pPr>
        <w:jc w:val="both"/>
        <w:rPr>
          <w:color w:val="000000"/>
        </w:rPr>
      </w:pPr>
    </w:p>
    <w:p w:rsidR="00AC3BCD" w:rsidRDefault="00AC3BCD" w:rsidP="00AC3BCD">
      <w:pPr>
        <w:jc w:val="both"/>
        <w:rPr>
          <w:b/>
        </w:rPr>
      </w:pPr>
      <w:r>
        <w:rPr>
          <w:b/>
        </w:rPr>
        <w:lastRenderedPageBreak/>
        <w:t>Biography</w:t>
      </w:r>
    </w:p>
    <w:p w:rsidR="00AC3BCD" w:rsidRPr="00261F70" w:rsidRDefault="00261F70" w:rsidP="00AC3BCD">
      <w:pPr>
        <w:jc w:val="both"/>
        <w:rPr>
          <w:bCs/>
        </w:rPr>
      </w:pPr>
      <w:r>
        <w:rPr>
          <w:bCs/>
        </w:rPr>
        <w:t>Dr. Ahmad Almaiman</w:t>
      </w:r>
      <w:r w:rsidR="00BF02C7">
        <w:rPr>
          <w:bCs/>
        </w:rPr>
        <w:t xml:space="preserve"> is an MBBS</w:t>
      </w:r>
      <w:r>
        <w:rPr>
          <w:bCs/>
        </w:rPr>
        <w:t xml:space="preserve"> </w:t>
      </w:r>
      <w:r w:rsidR="00890AC3">
        <w:rPr>
          <w:bCs/>
        </w:rPr>
        <w:t>graduate</w:t>
      </w:r>
      <w:r w:rsidR="00BF02C7">
        <w:rPr>
          <w:bCs/>
        </w:rPr>
        <w:t xml:space="preserve"> </w:t>
      </w:r>
      <w:r w:rsidR="00890AC3">
        <w:rPr>
          <w:bCs/>
        </w:rPr>
        <w:t>from the University of Sharjah College of Medicine in the UAE</w:t>
      </w:r>
      <w:r w:rsidR="006D2F12">
        <w:rPr>
          <w:bCs/>
        </w:rPr>
        <w:t>. He conducted his internship in King Khalid University Hospital in Riyadh</w:t>
      </w:r>
      <w:r w:rsidR="00684BE2">
        <w:rPr>
          <w:bCs/>
        </w:rPr>
        <w:t xml:space="preserve">, Saudi Arabia, after </w:t>
      </w:r>
      <w:r w:rsidR="0013257A">
        <w:rPr>
          <w:bCs/>
        </w:rPr>
        <w:t xml:space="preserve">which he became a licensed </w:t>
      </w:r>
      <w:r w:rsidR="00087EB5">
        <w:rPr>
          <w:bCs/>
        </w:rPr>
        <w:t xml:space="preserve">General Practitioner under the Saudi Commission for Health Specialties as well as a listing </w:t>
      </w:r>
      <w:r w:rsidR="0038071D">
        <w:rPr>
          <w:bCs/>
        </w:rPr>
        <w:t>in the</w:t>
      </w:r>
      <w:r w:rsidR="00087EB5">
        <w:rPr>
          <w:bCs/>
        </w:rPr>
        <w:t xml:space="preserve"> Dubai Medical Registry in the UAE</w:t>
      </w:r>
      <w:r w:rsidR="0038071D">
        <w:rPr>
          <w:bCs/>
        </w:rPr>
        <w:t xml:space="preserve">. His field of interest is Pediatrics and sub </w:t>
      </w:r>
      <w:r w:rsidR="0011253D">
        <w:rPr>
          <w:bCs/>
        </w:rPr>
        <w:t xml:space="preserve">specialties of interest and previous publishing </w:t>
      </w:r>
      <w:r w:rsidR="0038071D">
        <w:rPr>
          <w:bCs/>
        </w:rPr>
        <w:t xml:space="preserve">include </w:t>
      </w:r>
      <w:r w:rsidR="00553892">
        <w:rPr>
          <w:bCs/>
        </w:rPr>
        <w:t>Neonatology</w:t>
      </w:r>
      <w:r w:rsidR="0038071D">
        <w:rPr>
          <w:bCs/>
        </w:rPr>
        <w:t xml:space="preserve"> and Gastroenterology.</w:t>
      </w:r>
    </w:p>
    <w:p w:rsidR="00441270" w:rsidRDefault="00441270" w:rsidP="00AC3BCD">
      <w:pPr>
        <w:autoSpaceDE w:val="0"/>
        <w:autoSpaceDN w:val="0"/>
        <w:adjustRightInd w:val="0"/>
      </w:pP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1D70E7">
        <w:rPr>
          <w:lang w:val="en-NZ"/>
        </w:rPr>
        <w:t xml:space="preserve">Ahmad M. </w:t>
      </w:r>
      <w:proofErr w:type="spellStart"/>
      <w:r w:rsidR="001D70E7">
        <w:rPr>
          <w:lang w:val="en-NZ"/>
        </w:rPr>
        <w:t>Almaiman</w:t>
      </w:r>
      <w:proofErr w:type="spellEnd"/>
      <w:r w:rsidRPr="008A690F">
        <w:rPr>
          <w:lang w:val="en-NZ"/>
        </w:rPr>
        <w:br/>
        <w:t>Contact number:</w:t>
      </w:r>
      <w:r w:rsidR="001D70E7">
        <w:rPr>
          <w:lang w:val="en-NZ"/>
        </w:rPr>
        <w:t xml:space="preserve"> +971-56-891-4136</w:t>
      </w:r>
    </w:p>
    <w:p w:rsidR="00607A75"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0B5E92">
        <w:rPr>
          <w:lang w:val="en-NZ"/>
        </w:rPr>
        <w:t xml:space="preserve"> </w:t>
      </w:r>
      <w:r w:rsidR="00607A75" w:rsidRPr="00607A75">
        <w:rPr>
          <w:lang w:val="en-NZ"/>
        </w:rPr>
        <w:t>Intussusception:  Highlighted  Aspects</w:t>
      </w:r>
    </w:p>
    <w:p w:rsidR="00AC3BCD" w:rsidRDefault="00AC3BCD" w:rsidP="00AC3BCD">
      <w:pPr>
        <w:autoSpaceDE w:val="0"/>
        <w:autoSpaceDN w:val="0"/>
        <w:adjustRightInd w:val="0"/>
        <w:rPr>
          <w:lang w:val="en-NZ"/>
        </w:rPr>
      </w:pPr>
      <w:r w:rsidRPr="008A690F">
        <w:rPr>
          <w:lang w:val="en-NZ"/>
        </w:rPr>
        <w:t>Category: (Oral</w:t>
      </w:r>
      <w:r w:rsidR="00085B88" w:rsidRPr="008A690F">
        <w:rPr>
          <w:lang w:val="en-NZ"/>
        </w:rPr>
        <w:t xml:space="preserve">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6BB2" w:rsidRDefault="00A46BB2" w:rsidP="00671A59">
      <w:r>
        <w:separator/>
      </w:r>
    </w:p>
  </w:endnote>
  <w:endnote w:type="continuationSeparator" w:id="0">
    <w:p w:rsidR="00A46BB2" w:rsidRDefault="00A46BB2"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41"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1"/>
    <w:family w:val="roman"/>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6BB2" w:rsidRDefault="00A46BB2" w:rsidP="00671A59">
      <w:r>
        <w:separator/>
      </w:r>
    </w:p>
  </w:footnote>
  <w:footnote w:type="continuationSeparator" w:id="0">
    <w:p w:rsidR="00A46BB2" w:rsidRDefault="00A46BB2"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3"/>
  <w:removePersonalInformation/>
  <w:removeDateAndTime/>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87EB5"/>
    <w:rsid w:val="00090564"/>
    <w:rsid w:val="00097CA5"/>
    <w:rsid w:val="000A4C72"/>
    <w:rsid w:val="000B5E92"/>
    <w:rsid w:val="000E7A02"/>
    <w:rsid w:val="00101A04"/>
    <w:rsid w:val="00106952"/>
    <w:rsid w:val="0011253D"/>
    <w:rsid w:val="001216E5"/>
    <w:rsid w:val="0013257A"/>
    <w:rsid w:val="0013563F"/>
    <w:rsid w:val="00145878"/>
    <w:rsid w:val="00150979"/>
    <w:rsid w:val="0016525F"/>
    <w:rsid w:val="001A411C"/>
    <w:rsid w:val="001B1336"/>
    <w:rsid w:val="001B6DE6"/>
    <w:rsid w:val="001D70E7"/>
    <w:rsid w:val="001F414A"/>
    <w:rsid w:val="00205354"/>
    <w:rsid w:val="00261F70"/>
    <w:rsid w:val="002659F1"/>
    <w:rsid w:val="00270EC9"/>
    <w:rsid w:val="00292DC0"/>
    <w:rsid w:val="002B18D5"/>
    <w:rsid w:val="002C0F2B"/>
    <w:rsid w:val="003753DD"/>
    <w:rsid w:val="0038071D"/>
    <w:rsid w:val="003A4429"/>
    <w:rsid w:val="00407EC6"/>
    <w:rsid w:val="00441270"/>
    <w:rsid w:val="004775E3"/>
    <w:rsid w:val="0049217F"/>
    <w:rsid w:val="004A262E"/>
    <w:rsid w:val="004A2CA1"/>
    <w:rsid w:val="004B3B30"/>
    <w:rsid w:val="00505DA1"/>
    <w:rsid w:val="005408D9"/>
    <w:rsid w:val="00553892"/>
    <w:rsid w:val="00555DAD"/>
    <w:rsid w:val="005B168A"/>
    <w:rsid w:val="005C2EA1"/>
    <w:rsid w:val="005C3848"/>
    <w:rsid w:val="005D43ED"/>
    <w:rsid w:val="00605142"/>
    <w:rsid w:val="00607A75"/>
    <w:rsid w:val="00612C13"/>
    <w:rsid w:val="006511AA"/>
    <w:rsid w:val="00671A59"/>
    <w:rsid w:val="00684BE2"/>
    <w:rsid w:val="00691F82"/>
    <w:rsid w:val="006B463C"/>
    <w:rsid w:val="006C51B8"/>
    <w:rsid w:val="006D2F12"/>
    <w:rsid w:val="006F0C5C"/>
    <w:rsid w:val="007258AA"/>
    <w:rsid w:val="00743CCA"/>
    <w:rsid w:val="00746319"/>
    <w:rsid w:val="007875D1"/>
    <w:rsid w:val="00790C29"/>
    <w:rsid w:val="007F0333"/>
    <w:rsid w:val="00800D58"/>
    <w:rsid w:val="00834D93"/>
    <w:rsid w:val="00862283"/>
    <w:rsid w:val="00890AC3"/>
    <w:rsid w:val="008A3E9A"/>
    <w:rsid w:val="008A690F"/>
    <w:rsid w:val="00901E5B"/>
    <w:rsid w:val="00970E67"/>
    <w:rsid w:val="00981005"/>
    <w:rsid w:val="009821B4"/>
    <w:rsid w:val="009A6AD9"/>
    <w:rsid w:val="009B0CCF"/>
    <w:rsid w:val="009B7F4F"/>
    <w:rsid w:val="009D3EA4"/>
    <w:rsid w:val="009E6632"/>
    <w:rsid w:val="009E6C61"/>
    <w:rsid w:val="00A31D17"/>
    <w:rsid w:val="00A41107"/>
    <w:rsid w:val="00A46BB2"/>
    <w:rsid w:val="00A50066"/>
    <w:rsid w:val="00A668A1"/>
    <w:rsid w:val="00A76E81"/>
    <w:rsid w:val="00A83688"/>
    <w:rsid w:val="00A83863"/>
    <w:rsid w:val="00AC3BCD"/>
    <w:rsid w:val="00AD6315"/>
    <w:rsid w:val="00AF4356"/>
    <w:rsid w:val="00B26097"/>
    <w:rsid w:val="00B27625"/>
    <w:rsid w:val="00B45897"/>
    <w:rsid w:val="00B63CA9"/>
    <w:rsid w:val="00B675D9"/>
    <w:rsid w:val="00BF02C7"/>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1E6DF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header" Target="header3.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2.xml" /><Relationship Id="rId2" Type="http://schemas.openxmlformats.org/officeDocument/2006/relationships/numbering" Target="numbering.xml" /><Relationship Id="rId16"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1.xml" /><Relationship Id="rId5" Type="http://schemas.openxmlformats.org/officeDocument/2006/relationships/webSettings" Target="webSettings.xml" /><Relationship Id="rId15" Type="http://schemas.openxmlformats.org/officeDocument/2006/relationships/fontTable" Target="fontTable.xml" /><Relationship Id="rId10" Type="http://schemas.openxmlformats.org/officeDocument/2006/relationships/header" Target="header2.xml" /><Relationship Id="rId4" Type="http://schemas.openxmlformats.org/officeDocument/2006/relationships/settings" Target="settings.xml" /><Relationship Id="rId9" Type="http://schemas.openxmlformats.org/officeDocument/2006/relationships/header" Target="header1.xml" /><Relationship Id="rId14"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F63382-62B8-B149-8185-DBC9BB7AD7A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467</Words>
  <Characters>2663</Characters>
  <Application>Microsoft Office Word</Application>
  <DocSecurity>0</DocSecurity>
  <Lines>22</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2019-10-23T23:45:00Z</dcterms:created>
  <dcterms:modified xsi:type="dcterms:W3CDTF">2019-11-03T10:08:00Z</dcterms:modified>
</cp:coreProperties>
</file>