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Default="002C0F2B" w:rsidP="001F414A">
      <w:pPr>
        <w:jc w:val="both"/>
        <w:rPr>
          <w:sz w:val="22"/>
          <w:szCs w:val="22"/>
          <w:lang w:val="en-GB"/>
        </w:rPr>
      </w:pPr>
      <w:r>
        <w:rPr>
          <w:sz w:val="22"/>
          <w:szCs w:val="22"/>
          <w:lang w:val="en-GB"/>
        </w:rPr>
        <w:t xml:space="preserve">                                                                                                                       </w:t>
      </w:r>
      <w:r w:rsidR="00B63CA9" w:rsidRPr="002C0F2B">
        <w:rPr>
          <w:noProof/>
          <w:sz w:val="22"/>
          <w:szCs w:val="22"/>
          <w:lang w:val="en-GB"/>
        </w:rPr>
        <w:drawing>
          <wp:inline distT="0" distB="0" distL="0" distR="0">
            <wp:extent cx="1425575" cy="1414145"/>
            <wp:effectExtent l="0" t="0" r="0" b="0"/>
            <wp:docPr id="1" name="Picture 1" descr="dumm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descr="dummy"/>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5575" cy="1414145"/>
                    </a:xfrm>
                    <a:prstGeom prst="rect">
                      <a:avLst/>
                    </a:prstGeom>
                    <a:noFill/>
                    <a:ln>
                      <a:noFill/>
                    </a:ln>
                  </pic:spPr>
                </pic:pic>
              </a:graphicData>
            </a:graphic>
          </wp:inline>
        </w:drawing>
      </w:r>
    </w:p>
    <w:p w:rsidR="00AC3BCD" w:rsidRPr="00441270" w:rsidRDefault="00441270" w:rsidP="00441270">
      <w:pPr>
        <w:rPr>
          <w:rFonts w:eastAsia="MS PGothic"/>
          <w:b/>
          <w:color w:val="000000"/>
          <w:sz w:val="28"/>
          <w:szCs w:val="28"/>
        </w:rPr>
      </w:pPr>
      <w:r>
        <w:rPr>
          <w:rFonts w:eastAsia="MS PGothic"/>
          <w:b/>
          <w:color w:val="000000"/>
          <w:sz w:val="28"/>
          <w:szCs w:val="28"/>
        </w:rPr>
        <w:t xml:space="preserve">Pediatric Pancreatitis: </w:t>
      </w:r>
      <w:r w:rsidR="001D70E7">
        <w:rPr>
          <w:rFonts w:eastAsia="MS PGothic"/>
          <w:b/>
          <w:color w:val="000000"/>
          <w:sz w:val="28"/>
          <w:szCs w:val="28"/>
        </w:rPr>
        <w:t xml:space="preserve">An Overview with Minor Differences </w:t>
      </w:r>
      <w:r w:rsidR="00AC3BCD">
        <w:rPr>
          <w:rFonts w:eastAsia="MS PGothic" w:hAnsi="Arial"/>
          <w:color w:val="000000"/>
        </w:rPr>
        <w:br/>
      </w:r>
      <w:r w:rsidR="00AC3BCD">
        <w:rPr>
          <w:b/>
          <w:sz w:val="28"/>
          <w:szCs w:val="28"/>
        </w:rPr>
        <w:t xml:space="preserve">                                            </w:t>
      </w:r>
      <w:r>
        <w:rPr>
          <w:rFonts w:eastAsia="MS PGothic" w:hAnsi="Arial"/>
          <w:color w:val="000000"/>
        </w:rPr>
        <w:t>Ahmad Almaiman</w:t>
      </w:r>
    </w:p>
    <w:p w:rsidR="00AC3BCD" w:rsidRDefault="00AC3BCD" w:rsidP="00AC3BCD">
      <w:pPr>
        <w:rPr>
          <w:rFonts w:eastAsia="MS PGothic" w:hAnsi="Arial"/>
          <w:color w:val="000000"/>
        </w:rPr>
      </w:pPr>
      <w:r>
        <w:rPr>
          <w:b/>
          <w:sz w:val="28"/>
          <w:szCs w:val="28"/>
        </w:rPr>
        <w:t xml:space="preserve">                  </w:t>
      </w:r>
    </w:p>
    <w:p w:rsidR="00AC3BCD" w:rsidRDefault="00AC3BCD" w:rsidP="00AC3BCD">
      <w:pPr>
        <w:jc w:val="center"/>
        <w:rPr>
          <w:rFonts w:eastAsia="Batang"/>
          <w:color w:val="0000FF"/>
          <w:sz w:val="36"/>
          <w:szCs w:val="36"/>
        </w:rPr>
      </w:pPr>
    </w:p>
    <w:p w:rsidR="00B45897" w:rsidRDefault="00B45897" w:rsidP="00815C50">
      <w:pPr>
        <w:widowControl w:val="0"/>
        <w:autoSpaceDE w:val="0"/>
        <w:autoSpaceDN w:val="0"/>
        <w:adjustRightInd w:val="0"/>
        <w:spacing w:after="200" w:line="276" w:lineRule="auto"/>
        <w:jc w:val="both"/>
        <w:rPr>
          <w:b/>
          <w:bCs/>
          <w:sz w:val="32"/>
          <w:szCs w:val="32"/>
          <w:lang w:val="en"/>
        </w:rPr>
      </w:pPr>
      <w:r>
        <w:rPr>
          <w:b/>
          <w:bCs/>
          <w:sz w:val="32"/>
          <w:szCs w:val="32"/>
          <w:lang w:val="en"/>
        </w:rPr>
        <w:t>Abstract</w:t>
      </w:r>
    </w:p>
    <w:p w:rsidR="00B45897" w:rsidRPr="00B45897" w:rsidRDefault="00B45897" w:rsidP="00815C50">
      <w:pPr>
        <w:widowControl w:val="0"/>
        <w:autoSpaceDE w:val="0"/>
        <w:autoSpaceDN w:val="0"/>
        <w:adjustRightInd w:val="0"/>
        <w:spacing w:after="200" w:line="276" w:lineRule="auto"/>
        <w:jc w:val="both"/>
        <w:rPr>
          <w:rFonts w:ascii="Calibri" w:hAnsi="Calibri" w:cs="Calibri"/>
          <w:lang w:val="en"/>
        </w:rPr>
      </w:pPr>
      <w:r w:rsidRPr="00B45897">
        <w:rPr>
          <w:sz w:val="32"/>
          <w:szCs w:val="32"/>
          <w:lang w:val="en"/>
        </w:rPr>
        <w:t xml:space="preserve">Pancreatitis is defined as the inflammation of the pancreas. Alongside providing the regulatory hormones of Insulin and Glucagon, this organ aids in the digestion process by producing activated enzymes that exist near the </w:t>
      </w:r>
      <w:proofErr w:type="spellStart"/>
      <w:r w:rsidRPr="00B45897">
        <w:rPr>
          <w:sz w:val="32"/>
          <w:szCs w:val="32"/>
          <w:lang w:val="en"/>
        </w:rPr>
        <w:t>dudodenum</w:t>
      </w:r>
      <w:proofErr w:type="spellEnd"/>
      <w:r w:rsidRPr="00B45897">
        <w:rPr>
          <w:sz w:val="32"/>
          <w:szCs w:val="32"/>
          <w:lang w:val="en"/>
        </w:rPr>
        <w:t xml:space="preserve">. However, during an inflammation the enzymes self-digest the pancreas as a result of the </w:t>
      </w:r>
      <w:proofErr w:type="spellStart"/>
      <w:r w:rsidRPr="00B45897">
        <w:rPr>
          <w:sz w:val="32"/>
          <w:szCs w:val="32"/>
          <w:lang w:val="en"/>
        </w:rPr>
        <w:t>acinar</w:t>
      </w:r>
      <w:proofErr w:type="spellEnd"/>
      <w:r w:rsidRPr="00B45897">
        <w:rPr>
          <w:sz w:val="32"/>
          <w:szCs w:val="32"/>
          <w:lang w:val="en"/>
        </w:rPr>
        <w:t xml:space="preserve"> cell damage due to particular triggers. The incidence of acute pancreatitis has been increasing over the past twenty years; though the approach of managing it is similar to that of adult pancreatitis there still remains a need to convey official guidelines for pediatric management. It is convenient to understand the minor distinctions that relate to the cause and overall observation of pancreatitis as well as also being aware of any onward possible complications. Both gallstones and alcohol represent the two most common causes of pancreatitis in adult groups; while the former alongside hereditary pancreatitis and trauma are the lead </w:t>
      </w:r>
      <w:r w:rsidR="00150979">
        <w:rPr>
          <w:sz w:val="32"/>
          <w:szCs w:val="32"/>
          <w:lang w:val="en"/>
        </w:rPr>
        <w:t xml:space="preserve">causes </w:t>
      </w:r>
      <w:r w:rsidRPr="00B45897">
        <w:rPr>
          <w:sz w:val="32"/>
          <w:szCs w:val="32"/>
          <w:lang w:val="en"/>
        </w:rPr>
        <w:t xml:space="preserve">of childhood pancreatitis. Viruses were </w:t>
      </w:r>
      <w:r w:rsidR="00150979">
        <w:rPr>
          <w:sz w:val="32"/>
          <w:szCs w:val="32"/>
          <w:lang w:val="en"/>
        </w:rPr>
        <w:t>at a previous time</w:t>
      </w:r>
      <w:r w:rsidRPr="00B45897">
        <w:rPr>
          <w:sz w:val="32"/>
          <w:szCs w:val="32"/>
          <w:lang w:val="en"/>
        </w:rPr>
        <w:t xml:space="preserve"> the mainstay in cases of acute pancreatitis but now they are intermediate. In spite of providing the same treatment used on adults there still exists a significant association with morbidity. Currently Pediatric guidelines are being discussed, while adult guidelines remain in adequate service in the modern clinical setting of acute pancreatitis.</w:t>
      </w:r>
    </w:p>
    <w:p w:rsidR="00AC3BCD" w:rsidRDefault="00AC3BCD" w:rsidP="00150979">
      <w:pPr>
        <w:jc w:val="both"/>
        <w:rPr>
          <w:color w:val="000000"/>
        </w:rPr>
      </w:pPr>
    </w:p>
    <w:p w:rsidR="00AC3BCD" w:rsidRDefault="00AC3BCD" w:rsidP="00AC3BCD">
      <w:pPr>
        <w:jc w:val="both"/>
        <w:rPr>
          <w:color w:val="000000"/>
        </w:rPr>
      </w:pPr>
    </w:p>
    <w:p w:rsidR="00AC3BCD" w:rsidRDefault="00AC3BCD" w:rsidP="00AC3BCD">
      <w:pPr>
        <w:jc w:val="both"/>
        <w:rPr>
          <w:b/>
        </w:rPr>
      </w:pPr>
      <w:r>
        <w:rPr>
          <w:b/>
        </w:rPr>
        <w:t>Biography</w:t>
      </w:r>
    </w:p>
    <w:p w:rsidR="00AC3BCD" w:rsidRPr="00261F70" w:rsidRDefault="00261F70" w:rsidP="00AC3BCD">
      <w:pPr>
        <w:jc w:val="both"/>
        <w:rPr>
          <w:bCs/>
        </w:rPr>
      </w:pPr>
      <w:r>
        <w:rPr>
          <w:bCs/>
        </w:rPr>
        <w:t>Dr. Ahmad Almaiman</w:t>
      </w:r>
      <w:r w:rsidR="00BF02C7">
        <w:rPr>
          <w:bCs/>
        </w:rPr>
        <w:t xml:space="preserve"> is an MBBS</w:t>
      </w:r>
      <w:r>
        <w:rPr>
          <w:bCs/>
        </w:rPr>
        <w:t xml:space="preserve"> </w:t>
      </w:r>
      <w:r w:rsidR="00890AC3">
        <w:rPr>
          <w:bCs/>
        </w:rPr>
        <w:t>graduate</w:t>
      </w:r>
      <w:r w:rsidR="00BF02C7">
        <w:rPr>
          <w:bCs/>
        </w:rPr>
        <w:t xml:space="preserve"> </w:t>
      </w:r>
      <w:r w:rsidR="00890AC3">
        <w:rPr>
          <w:bCs/>
        </w:rPr>
        <w:t>from the University of Sharjah College of Medicine in the UAE</w:t>
      </w:r>
      <w:r w:rsidR="006D2F12">
        <w:rPr>
          <w:bCs/>
        </w:rPr>
        <w:t>. He conducted his internship in King Khalid University Hospital in Riyadh</w:t>
      </w:r>
      <w:r w:rsidR="00684BE2">
        <w:rPr>
          <w:bCs/>
        </w:rPr>
        <w:t xml:space="preserve">, Saudi Arabia, after </w:t>
      </w:r>
      <w:r w:rsidR="0013257A">
        <w:rPr>
          <w:bCs/>
        </w:rPr>
        <w:t xml:space="preserve">which he became a licensed </w:t>
      </w:r>
      <w:r w:rsidR="00087EB5">
        <w:rPr>
          <w:bCs/>
        </w:rPr>
        <w:t xml:space="preserve">General Practitioner under the Saudi Commission for Health Specialties as well as a listing </w:t>
      </w:r>
      <w:r w:rsidR="0038071D">
        <w:rPr>
          <w:bCs/>
        </w:rPr>
        <w:t>in the</w:t>
      </w:r>
      <w:r w:rsidR="00087EB5">
        <w:rPr>
          <w:bCs/>
        </w:rPr>
        <w:t xml:space="preserve"> Dubai Medical Registry in the UAE</w:t>
      </w:r>
      <w:r w:rsidR="0038071D">
        <w:rPr>
          <w:bCs/>
        </w:rPr>
        <w:t xml:space="preserve">. His field of interest is Pediatrics and sub </w:t>
      </w:r>
      <w:r w:rsidR="0011253D">
        <w:rPr>
          <w:bCs/>
        </w:rPr>
        <w:t xml:space="preserve">specialties of interest and previous publishing </w:t>
      </w:r>
      <w:r w:rsidR="0038071D">
        <w:rPr>
          <w:bCs/>
        </w:rPr>
        <w:t xml:space="preserve">include </w:t>
      </w:r>
      <w:r w:rsidR="00553892">
        <w:rPr>
          <w:bCs/>
        </w:rPr>
        <w:t>Neonatology</w:t>
      </w:r>
      <w:r w:rsidR="0038071D">
        <w:rPr>
          <w:bCs/>
        </w:rPr>
        <w:t xml:space="preserve"> and Gastroenterology.</w:t>
      </w:r>
    </w:p>
    <w:p w:rsidR="00441270" w:rsidRDefault="00441270" w:rsidP="00AC3BCD">
      <w:pPr>
        <w:autoSpaceDE w:val="0"/>
        <w:autoSpaceDN w:val="0"/>
        <w:adjustRightInd w:val="0"/>
      </w:pPr>
    </w:p>
    <w:p w:rsidR="00A41107" w:rsidRPr="008A690F" w:rsidRDefault="00072E30" w:rsidP="00AC3BCD">
      <w:pPr>
        <w:autoSpaceDE w:val="0"/>
        <w:autoSpaceDN w:val="0"/>
        <w:adjustRightInd w:val="0"/>
        <w:rPr>
          <w:b/>
          <w:lang w:val="en-NZ"/>
        </w:rPr>
      </w:pPr>
      <w:r w:rsidRPr="008A690F">
        <w:rPr>
          <w:b/>
          <w:lang w:val="en-NZ"/>
        </w:rPr>
        <w:lastRenderedPageBreak/>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1D70E7">
        <w:rPr>
          <w:lang w:val="en-NZ"/>
        </w:rPr>
        <w:t xml:space="preserve">Ahmad M. </w:t>
      </w:r>
      <w:proofErr w:type="spellStart"/>
      <w:r w:rsidR="001D70E7">
        <w:rPr>
          <w:lang w:val="en-NZ"/>
        </w:rPr>
        <w:t>Almaiman</w:t>
      </w:r>
      <w:proofErr w:type="spellEnd"/>
      <w:r w:rsidRPr="008A690F">
        <w:rPr>
          <w:lang w:val="en-NZ"/>
        </w:rPr>
        <w:br/>
        <w:t>Contact number:</w:t>
      </w:r>
      <w:r w:rsidR="001D70E7">
        <w:rPr>
          <w:lang w:val="en-NZ"/>
        </w:rPr>
        <w:t xml:space="preserve"> +971-56-891-4136</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0B5E92">
        <w:rPr>
          <w:lang w:val="en-NZ"/>
        </w:rPr>
        <w:t xml:space="preserve"> </w:t>
      </w:r>
      <w:proofErr w:type="spellStart"/>
      <w:r w:rsidR="000B5E92">
        <w:rPr>
          <w:lang w:val="en-NZ"/>
        </w:rPr>
        <w:t>Pediatrics</w:t>
      </w:r>
      <w:proofErr w:type="spellEnd"/>
      <w:r w:rsidR="000B5E92">
        <w:rPr>
          <w:lang w:val="en-NZ"/>
        </w:rPr>
        <w:t xml:space="preserve"> Pancreatitis </w:t>
      </w:r>
      <w:r w:rsidRPr="008A690F">
        <w:rPr>
          <w:lang w:val="en-NZ"/>
        </w:rPr>
        <w:br/>
        <w:t>Category: (Oral</w:t>
      </w:r>
      <w:bookmarkStart w:id="0" w:name="_GoBack"/>
      <w:bookmarkEnd w:id="0"/>
      <w:r w:rsidR="00085B88" w:rsidRPr="008A690F">
        <w:rPr>
          <w:lang w:val="en-NZ"/>
        </w:rPr>
        <w:t xml:space="preserve">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525F" w:rsidRDefault="0016525F" w:rsidP="00671A59">
      <w:r>
        <w:separator/>
      </w:r>
    </w:p>
  </w:endnote>
  <w:endnote w:type="continuationSeparator" w:id="0">
    <w:p w:rsidR="0016525F" w:rsidRDefault="0016525F"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1"/>
    <w:family w:val="roman"/>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525F" w:rsidRDefault="0016525F" w:rsidP="00671A59">
      <w:r>
        <w:separator/>
      </w:r>
    </w:p>
  </w:footnote>
  <w:footnote w:type="continuationSeparator" w:id="0">
    <w:p w:rsidR="0016525F" w:rsidRDefault="0016525F"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1"/>
  <w:removePersonalInformation/>
  <w:removeDateAndTime/>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87EB5"/>
    <w:rsid w:val="00090564"/>
    <w:rsid w:val="00097CA5"/>
    <w:rsid w:val="000A4C72"/>
    <w:rsid w:val="000B5E92"/>
    <w:rsid w:val="000E7A02"/>
    <w:rsid w:val="00101A04"/>
    <w:rsid w:val="00106952"/>
    <w:rsid w:val="0011253D"/>
    <w:rsid w:val="001216E5"/>
    <w:rsid w:val="0013257A"/>
    <w:rsid w:val="0013563F"/>
    <w:rsid w:val="00145878"/>
    <w:rsid w:val="00150979"/>
    <w:rsid w:val="0016525F"/>
    <w:rsid w:val="001A411C"/>
    <w:rsid w:val="001B1336"/>
    <w:rsid w:val="001B6DE6"/>
    <w:rsid w:val="001D70E7"/>
    <w:rsid w:val="001F414A"/>
    <w:rsid w:val="00205354"/>
    <w:rsid w:val="00261F70"/>
    <w:rsid w:val="002659F1"/>
    <w:rsid w:val="00270EC9"/>
    <w:rsid w:val="00292DC0"/>
    <w:rsid w:val="002B18D5"/>
    <w:rsid w:val="002C0F2B"/>
    <w:rsid w:val="003753DD"/>
    <w:rsid w:val="0038071D"/>
    <w:rsid w:val="003A4429"/>
    <w:rsid w:val="00441270"/>
    <w:rsid w:val="004775E3"/>
    <w:rsid w:val="0049217F"/>
    <w:rsid w:val="004A262E"/>
    <w:rsid w:val="004A2CA1"/>
    <w:rsid w:val="004B3B30"/>
    <w:rsid w:val="00505DA1"/>
    <w:rsid w:val="005408D9"/>
    <w:rsid w:val="00553892"/>
    <w:rsid w:val="00555DAD"/>
    <w:rsid w:val="005B168A"/>
    <w:rsid w:val="005C2EA1"/>
    <w:rsid w:val="005C3848"/>
    <w:rsid w:val="005D43ED"/>
    <w:rsid w:val="00605142"/>
    <w:rsid w:val="00612C13"/>
    <w:rsid w:val="006511AA"/>
    <w:rsid w:val="00671A59"/>
    <w:rsid w:val="00684BE2"/>
    <w:rsid w:val="00691F82"/>
    <w:rsid w:val="006B463C"/>
    <w:rsid w:val="006C51B8"/>
    <w:rsid w:val="006D2F12"/>
    <w:rsid w:val="006F0C5C"/>
    <w:rsid w:val="007258AA"/>
    <w:rsid w:val="00743CCA"/>
    <w:rsid w:val="00746319"/>
    <w:rsid w:val="007875D1"/>
    <w:rsid w:val="00790C29"/>
    <w:rsid w:val="007F0333"/>
    <w:rsid w:val="00800D58"/>
    <w:rsid w:val="00834D93"/>
    <w:rsid w:val="00862283"/>
    <w:rsid w:val="00890AC3"/>
    <w:rsid w:val="008A3E9A"/>
    <w:rsid w:val="008A690F"/>
    <w:rsid w:val="00901E5B"/>
    <w:rsid w:val="00970E67"/>
    <w:rsid w:val="00981005"/>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45897"/>
    <w:rsid w:val="00B63CA9"/>
    <w:rsid w:val="00B675D9"/>
    <w:rsid w:val="00BF02C7"/>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BC3F1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header" Target="header3.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2.xml" /><Relationship Id="rId2" Type="http://schemas.openxmlformats.org/officeDocument/2006/relationships/numbering" Target="numbering.xml" /><Relationship Id="rId16"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1.xml" /><Relationship Id="rId5" Type="http://schemas.openxmlformats.org/officeDocument/2006/relationships/webSettings" Target="webSettings.xml" /><Relationship Id="rId15" Type="http://schemas.openxmlformats.org/officeDocument/2006/relationships/fontTable" Target="fontTable.xml" /><Relationship Id="rId10" Type="http://schemas.openxmlformats.org/officeDocument/2006/relationships/header" Target="header2.xml" /><Relationship Id="rId4" Type="http://schemas.openxmlformats.org/officeDocument/2006/relationships/settings" Target="settings.xml" /><Relationship Id="rId9" Type="http://schemas.openxmlformats.org/officeDocument/2006/relationships/header" Target="header1.xml" /><Relationship Id="rId14"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369E4-29CF-964E-A739-3548F107593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347</Words>
  <Characters>1983</Characters>
  <Application>Microsoft Office Word</Application>
  <DocSecurity>0</DocSecurity>
  <Lines>16</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2019-10-23T23:45:00Z</dcterms:created>
  <dcterms:modified xsi:type="dcterms:W3CDTF">2019-10-24T00:08:00Z</dcterms:modified>
</cp:coreProperties>
</file>