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362" w:rsidRDefault="00B61362" w:rsidP="00B61362">
      <w:pPr>
        <w:spacing w:line="360" w:lineRule="auto"/>
        <w:jc w:val="right"/>
        <w:rPr>
          <w:lang w:val="en-US"/>
        </w:rPr>
      </w:pPr>
      <w:r>
        <w:rPr>
          <w:noProof/>
        </w:rPr>
        <w:drawing>
          <wp:inline distT="0" distB="0" distL="0" distR="0" wp14:anchorId="283AF656" wp14:editId="790919E1">
            <wp:extent cx="894682" cy="1015545"/>
            <wp:effectExtent l="0" t="0" r="1270" b="0"/>
            <wp:docPr id="1" name="Рисунок 1" descr="C:\Users\ADMIN\Desktop\DSC0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SC002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8" cy="101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8F8" w:rsidRDefault="00DC68F8" w:rsidP="00DC68F8">
      <w:pPr>
        <w:spacing w:line="360" w:lineRule="auto"/>
        <w:jc w:val="center"/>
        <w:rPr>
          <w:lang w:val="en-US"/>
        </w:rPr>
      </w:pPr>
      <w:r w:rsidRPr="00DC68F8">
        <w:rPr>
          <w:lang w:val="en-US"/>
        </w:rPr>
        <w:t>Correction of pathological changes in experimental type 2 diabetes mellitus</w:t>
      </w:r>
      <w:r>
        <w:rPr>
          <w:lang w:val="en-US"/>
        </w:rPr>
        <w:t xml:space="preserve"> by macrophage immunomodulation</w:t>
      </w:r>
    </w:p>
    <w:p w:rsidR="00DC68F8" w:rsidRDefault="00DC68F8" w:rsidP="00DC68F8">
      <w:pPr>
        <w:spacing w:line="360" w:lineRule="auto"/>
        <w:jc w:val="center"/>
        <w:rPr>
          <w:lang w:val="en-US"/>
        </w:rPr>
      </w:pPr>
      <w:r>
        <w:rPr>
          <w:lang w:val="en-US"/>
        </w:rPr>
        <w:t xml:space="preserve">I. Gette, I. Danilova, K. </w:t>
      </w:r>
      <w:proofErr w:type="spellStart"/>
      <w:r>
        <w:rPr>
          <w:lang w:val="en-US"/>
        </w:rPr>
        <w:t>Sokolova</w:t>
      </w:r>
      <w:proofErr w:type="spellEnd"/>
      <w:r>
        <w:rPr>
          <w:lang w:val="en-US"/>
        </w:rPr>
        <w:t xml:space="preserve">, M. </w:t>
      </w:r>
      <w:proofErr w:type="spellStart"/>
      <w:r>
        <w:rPr>
          <w:lang w:val="en-US"/>
        </w:rPr>
        <w:t>Abidov</w:t>
      </w:r>
      <w:proofErr w:type="spellEnd"/>
    </w:p>
    <w:p w:rsidR="00DC68F8" w:rsidRDefault="00DC68F8" w:rsidP="00974FB2">
      <w:pPr>
        <w:spacing w:line="360" w:lineRule="auto"/>
        <w:jc w:val="center"/>
        <w:rPr>
          <w:lang w:val="en-US"/>
        </w:rPr>
      </w:pPr>
      <w:r>
        <w:rPr>
          <w:lang w:val="en-US"/>
        </w:rPr>
        <w:t xml:space="preserve">Ural Federal </w:t>
      </w:r>
      <w:proofErr w:type="spellStart"/>
      <w:r>
        <w:rPr>
          <w:lang w:val="en-US"/>
        </w:rPr>
        <w:t>U</w:t>
      </w:r>
      <w:r w:rsidR="00974FB2">
        <w:rPr>
          <w:lang w:val="en-US"/>
        </w:rPr>
        <w:t>niversity</w:t>
      </w:r>
      <w:proofErr w:type="gramStart"/>
      <w:r w:rsidR="00974FB2">
        <w:rPr>
          <w:lang w:val="en-US"/>
        </w:rPr>
        <w:t>,</w:t>
      </w:r>
      <w:r>
        <w:rPr>
          <w:lang w:val="en-US"/>
        </w:rPr>
        <w:t>Yekaterinburg</w:t>
      </w:r>
      <w:proofErr w:type="spellEnd"/>
      <w:proofErr w:type="gramEnd"/>
      <w:r>
        <w:rPr>
          <w:lang w:val="en-US"/>
        </w:rPr>
        <w:t>, Russian Federation</w:t>
      </w:r>
    </w:p>
    <w:p w:rsidR="00DC68F8" w:rsidRDefault="00DC68F8" w:rsidP="00DC68F8">
      <w:pPr>
        <w:spacing w:line="360" w:lineRule="auto"/>
        <w:jc w:val="center"/>
        <w:rPr>
          <w:lang w:val="en-US"/>
        </w:rPr>
      </w:pPr>
    </w:p>
    <w:p w:rsidR="00887B1B" w:rsidRDefault="00887B1B" w:rsidP="00887B1B">
      <w:pPr>
        <w:spacing w:line="360" w:lineRule="auto"/>
        <w:jc w:val="both"/>
        <w:rPr>
          <w:lang w:val="en-US"/>
        </w:rPr>
      </w:pPr>
      <w:r w:rsidRPr="009C7D1E">
        <w:rPr>
          <w:lang w:val="en-US"/>
        </w:rPr>
        <w:t>Type 2 diabetes</w:t>
      </w:r>
      <w:r w:rsidRPr="007F5A49">
        <w:rPr>
          <w:lang w:val="en-US"/>
        </w:rPr>
        <w:t xml:space="preserve"> mellitus</w:t>
      </w:r>
      <w:r>
        <w:rPr>
          <w:lang w:val="en-US"/>
        </w:rPr>
        <w:t xml:space="preserve"> (DM2)</w:t>
      </w:r>
      <w:r w:rsidRPr="009C7D1E">
        <w:rPr>
          <w:lang w:val="en-US"/>
        </w:rPr>
        <w:t xml:space="preserve"> is characterized by a partial loss of β-cells. </w:t>
      </w:r>
      <w:r w:rsidRPr="00B760C9">
        <w:rPr>
          <w:lang w:val="en-US"/>
        </w:rPr>
        <w:t>Earli</w:t>
      </w:r>
      <w:r>
        <w:rPr>
          <w:lang w:val="en-US"/>
        </w:rPr>
        <w:t xml:space="preserve">er, we found recovery of </w:t>
      </w:r>
      <w:proofErr w:type="gramStart"/>
      <w:r>
        <w:rPr>
          <w:lang w:val="en-US"/>
        </w:rPr>
        <w:t>alloxanized</w:t>
      </w:r>
      <w:r w:rsidRPr="00113967">
        <w:rPr>
          <w:lang w:val="en-US"/>
        </w:rPr>
        <w:t xml:space="preserve"> </w:t>
      </w:r>
      <w:r>
        <w:rPr>
          <w:lang w:val="en-US"/>
        </w:rPr>
        <w:t xml:space="preserve"> rats</w:t>
      </w:r>
      <w:proofErr w:type="gramEnd"/>
      <w:r>
        <w:rPr>
          <w:lang w:val="en-US"/>
        </w:rPr>
        <w:t xml:space="preserve"> (type 1</w:t>
      </w:r>
      <w:r w:rsidRPr="009C7D1E">
        <w:rPr>
          <w:lang w:val="en-US"/>
        </w:rPr>
        <w:t xml:space="preserve"> diabetes</w:t>
      </w:r>
      <w:r w:rsidRPr="007F5A49">
        <w:rPr>
          <w:lang w:val="en-US"/>
        </w:rPr>
        <w:t xml:space="preserve"> mellitus</w:t>
      </w:r>
      <w:r>
        <w:rPr>
          <w:lang w:val="en-US"/>
        </w:rPr>
        <w:t>) treated with</w:t>
      </w:r>
      <w:r w:rsidRPr="00E20D1D">
        <w:rPr>
          <w:lang w:val="en-US"/>
        </w:rPr>
        <w:t xml:space="preserve"> </w:t>
      </w:r>
      <w:r>
        <w:rPr>
          <w:lang w:val="en-US"/>
        </w:rPr>
        <w:t xml:space="preserve">macrophage immunomodulator sodium aminophthalhydrazide (SA). </w:t>
      </w:r>
    </w:p>
    <w:p w:rsidR="00887B1B" w:rsidRDefault="00887B1B" w:rsidP="00887B1B">
      <w:pPr>
        <w:pStyle w:val="a3"/>
        <w:spacing w:line="360" w:lineRule="auto"/>
        <w:rPr>
          <w:rFonts w:ascii="yandex-sans" w:hAnsi="yandex-sans"/>
          <w:color w:val="000000"/>
          <w:sz w:val="24"/>
          <w:szCs w:val="24"/>
          <w:lang w:val="en-US"/>
        </w:rPr>
      </w:pPr>
      <w:r w:rsidRPr="0023062C">
        <w:rPr>
          <w:rFonts w:ascii="yandex-sans" w:hAnsi="yandex-sans"/>
          <w:color w:val="000000"/>
          <w:sz w:val="24"/>
          <w:szCs w:val="24"/>
          <w:lang w:val="en-US"/>
        </w:rPr>
        <w:t xml:space="preserve">The aim of the work is to reveal whether </w:t>
      </w:r>
      <w:r w:rsidRPr="00E20D1D">
        <w:rPr>
          <w:sz w:val="24"/>
          <w:szCs w:val="24"/>
          <w:lang w:val="en-US"/>
        </w:rPr>
        <w:t>SA</w:t>
      </w:r>
      <w:r w:rsidRPr="00E20D1D">
        <w:rPr>
          <w:rFonts w:ascii="yandex-sans" w:hAnsi="yandex-sans"/>
          <w:color w:val="000000"/>
          <w:sz w:val="24"/>
          <w:szCs w:val="24"/>
          <w:lang w:val="en-US"/>
        </w:rPr>
        <w:t xml:space="preserve"> promote</w:t>
      </w:r>
      <w:r>
        <w:rPr>
          <w:rFonts w:ascii="yandex-sans" w:hAnsi="yandex-sans"/>
          <w:color w:val="000000"/>
          <w:sz w:val="24"/>
          <w:szCs w:val="24"/>
          <w:lang w:val="en-US"/>
        </w:rPr>
        <w:t>s</w:t>
      </w:r>
      <w:r w:rsidRPr="00E20D1D">
        <w:rPr>
          <w:rFonts w:ascii="yandex-sans" w:hAnsi="yandex-sans"/>
          <w:color w:val="000000"/>
          <w:sz w:val="24"/>
          <w:szCs w:val="24"/>
          <w:lang w:val="en-US"/>
        </w:rPr>
        <w:t xml:space="preserve"> proliferation of insulin producing cells </w:t>
      </w:r>
      <w:r>
        <w:rPr>
          <w:rFonts w:ascii="yandex-sans" w:hAnsi="yandex-sans"/>
          <w:color w:val="000000"/>
          <w:sz w:val="24"/>
          <w:szCs w:val="24"/>
          <w:lang w:val="en-US"/>
        </w:rPr>
        <w:t>and recovery of</w:t>
      </w:r>
      <w:r w:rsidRPr="009D0DCC">
        <w:rPr>
          <w:rFonts w:ascii="yandex-sans" w:hAnsi="yandex-sans"/>
          <w:color w:val="000000"/>
          <w:sz w:val="24"/>
          <w:szCs w:val="24"/>
          <w:lang w:val="en-US"/>
        </w:rPr>
        <w:t xml:space="preserve"> </w:t>
      </w:r>
      <w:r>
        <w:rPr>
          <w:rFonts w:ascii="yandex-sans" w:hAnsi="yandex-sans"/>
          <w:color w:val="000000"/>
          <w:sz w:val="24"/>
          <w:szCs w:val="24"/>
          <w:lang w:val="en-US"/>
        </w:rPr>
        <w:t xml:space="preserve">DM2 rats. </w:t>
      </w:r>
    </w:p>
    <w:p w:rsidR="00887B1B" w:rsidRDefault="00887B1B" w:rsidP="00887B1B">
      <w:pPr>
        <w:spacing w:line="360" w:lineRule="auto"/>
        <w:jc w:val="both"/>
        <w:rPr>
          <w:lang w:val="en-US"/>
        </w:rPr>
      </w:pPr>
      <w:r w:rsidRPr="0023062C">
        <w:rPr>
          <w:rFonts w:ascii="yandex-sans" w:hAnsi="yandex-sans"/>
          <w:lang w:val="en-US"/>
        </w:rPr>
        <w:t>Fo</w:t>
      </w:r>
      <w:r>
        <w:rPr>
          <w:rFonts w:ascii="yandex-sans" w:hAnsi="yandex-sans"/>
          <w:lang w:val="en-US"/>
        </w:rPr>
        <w:t>rty male Wistar rats weighing 24</w:t>
      </w:r>
      <w:r w:rsidRPr="0023062C">
        <w:rPr>
          <w:rFonts w:ascii="yandex-sans" w:hAnsi="yandex-sans"/>
          <w:lang w:val="en-US"/>
        </w:rPr>
        <w:t>0-2</w:t>
      </w:r>
      <w:r>
        <w:rPr>
          <w:rFonts w:ascii="yandex-sans" w:hAnsi="yandex-sans"/>
          <w:lang w:val="en-US"/>
        </w:rPr>
        <w:t xml:space="preserve">50 </w:t>
      </w:r>
      <w:r w:rsidRPr="0023062C">
        <w:rPr>
          <w:rFonts w:ascii="yandex-sans" w:hAnsi="yandex-sans"/>
          <w:lang w:val="en-US"/>
        </w:rPr>
        <w:t>g were used</w:t>
      </w:r>
      <w:r w:rsidRPr="0023062C">
        <w:rPr>
          <w:color w:val="993366"/>
          <w:lang w:val="en-US"/>
        </w:rPr>
        <w:t xml:space="preserve"> </w:t>
      </w:r>
      <w:r>
        <w:rPr>
          <w:rFonts w:ascii="yandex-sans" w:hAnsi="yandex-sans"/>
          <w:lang w:val="en-US"/>
        </w:rPr>
        <w:t>in accordance with</w:t>
      </w:r>
      <w:r w:rsidRPr="0023062C">
        <w:rPr>
          <w:rFonts w:ascii="yandex-sans" w:hAnsi="yandex-sans"/>
          <w:lang w:val="en-US"/>
        </w:rPr>
        <w:t xml:space="preserve"> the Directive 2010/63/EU. </w:t>
      </w:r>
      <w:r>
        <w:rPr>
          <w:lang w:val="en-US"/>
        </w:rPr>
        <w:t>DM2</w:t>
      </w:r>
      <w:r w:rsidRPr="007F5A49">
        <w:rPr>
          <w:lang w:val="en-US"/>
        </w:rPr>
        <w:t xml:space="preserve"> </w:t>
      </w:r>
      <w:r>
        <w:rPr>
          <w:lang w:val="en-US"/>
        </w:rPr>
        <w:t xml:space="preserve">was obtained by intraperitoneal injection of </w:t>
      </w:r>
      <w:r w:rsidRPr="007F5A49">
        <w:rPr>
          <w:lang w:val="en-US"/>
        </w:rPr>
        <w:t>nicotinamide</w:t>
      </w:r>
      <w:r>
        <w:rPr>
          <w:lang w:val="en-US"/>
        </w:rPr>
        <w:t xml:space="preserve"> (</w:t>
      </w:r>
      <w:r w:rsidRPr="007F5A49">
        <w:rPr>
          <w:lang w:val="en-US"/>
        </w:rPr>
        <w:t>110 mg / kg</w:t>
      </w:r>
      <w:r>
        <w:rPr>
          <w:lang w:val="en-US"/>
        </w:rPr>
        <w:t>) and</w:t>
      </w:r>
      <w:r w:rsidRPr="007F5A49">
        <w:rPr>
          <w:lang w:val="en-US"/>
        </w:rPr>
        <w:t xml:space="preserve"> streptozotocin</w:t>
      </w:r>
      <w:r>
        <w:rPr>
          <w:lang w:val="en-US"/>
        </w:rPr>
        <w:t xml:space="preserve"> (</w:t>
      </w:r>
      <w:r w:rsidRPr="007F5A49">
        <w:rPr>
          <w:lang w:val="en-US"/>
        </w:rPr>
        <w:t>65 mg / kg)</w:t>
      </w:r>
      <w:r>
        <w:rPr>
          <w:lang w:val="en-US"/>
        </w:rPr>
        <w:t xml:space="preserve">. Diabetic rats received 20 intramuscular injections of SA </w:t>
      </w:r>
      <w:r w:rsidRPr="00887B1B">
        <w:rPr>
          <w:lang w:val="en-US"/>
        </w:rPr>
        <w:t>(</w:t>
      </w:r>
      <w:r>
        <w:rPr>
          <w:lang w:val="en-US"/>
        </w:rPr>
        <w:t>2 mg / kg</w:t>
      </w:r>
      <w:r w:rsidRPr="00887B1B">
        <w:rPr>
          <w:lang w:val="en-US"/>
        </w:rPr>
        <w:t>)</w:t>
      </w:r>
      <w:r>
        <w:rPr>
          <w:lang w:val="en-US"/>
        </w:rPr>
        <w:t>. Biochemical, immunohistochemical, ELISA assays and morphometry were made.</w:t>
      </w:r>
    </w:p>
    <w:p w:rsidR="00887B1B" w:rsidRDefault="00887B1B" w:rsidP="00887B1B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Treatment of diabetic rats with SA partially normalized plasma tests: the concentration of glucose, glycated hemoglobin, insulin, urea; the activity of aminotransferases, alpha-amylase; the level of TNF-alpha.  </w:t>
      </w:r>
    </w:p>
    <w:p w:rsidR="00887B1B" w:rsidRPr="004C609D" w:rsidRDefault="00887B1B" w:rsidP="00887B1B">
      <w:pPr>
        <w:pStyle w:val="a3"/>
        <w:spacing w:line="360" w:lineRule="auto"/>
        <w:rPr>
          <w:sz w:val="24"/>
          <w:szCs w:val="24"/>
          <w:lang w:val="en-US"/>
        </w:rPr>
      </w:pPr>
      <w:r w:rsidRPr="00974F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In the DM2 rats a decrease in the number of β-cells in the islets and insulin deficiency were accompanied by </w:t>
      </w:r>
      <w:proofErr w:type="gramStart"/>
      <w:r w:rsidRPr="00974F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</w:t>
      </w:r>
      <w:r w:rsidRPr="0011396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Pr="00974F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increase</w:t>
      </w:r>
      <w:proofErr w:type="gramEnd"/>
      <w:r w:rsidRPr="00974F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the number of extra-islet insulin-synthesizing cells without enhancing their functional activity.</w:t>
      </w:r>
      <w:r>
        <w:rPr>
          <w:lang w:val="en-US"/>
        </w:rPr>
        <w:t xml:space="preserve"> </w:t>
      </w:r>
      <w:r>
        <w:rPr>
          <w:rFonts w:ascii="yandex-sans" w:hAnsi="yandex-sans"/>
          <w:color w:val="000000"/>
          <w:sz w:val="24"/>
          <w:szCs w:val="24"/>
          <w:lang w:val="en-US"/>
        </w:rPr>
        <w:t>Treatment of DM2 rats with SA was accompanied by</w:t>
      </w:r>
      <w:r w:rsidRPr="0023062C">
        <w:rPr>
          <w:rFonts w:ascii="yandex-sans" w:hAnsi="yandex-sans"/>
          <w:color w:val="000000"/>
          <w:sz w:val="24"/>
          <w:szCs w:val="24"/>
          <w:lang w:val="en-US"/>
        </w:rPr>
        <w:t xml:space="preserve"> the r</w:t>
      </w:r>
      <w:r>
        <w:rPr>
          <w:rFonts w:ascii="yandex-sans" w:hAnsi="yandex-sans"/>
          <w:color w:val="000000"/>
          <w:sz w:val="24"/>
          <w:szCs w:val="24"/>
          <w:lang w:val="en-US"/>
        </w:rPr>
        <w:t xml:space="preserve">estoration of the islet beta-cells, </w:t>
      </w:r>
      <w:r w:rsidRPr="00974F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extra-islet insulin-synthesizing cells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and extra-islet insulin optical density. </w:t>
      </w:r>
    </w:p>
    <w:p w:rsidR="00887B1B" w:rsidRDefault="00887B1B" w:rsidP="00887B1B">
      <w:pPr>
        <w:spacing w:line="360" w:lineRule="auto"/>
        <w:jc w:val="both"/>
        <w:rPr>
          <w:lang w:val="en-US"/>
        </w:rPr>
      </w:pPr>
      <w:r w:rsidRPr="007F5A49">
        <w:rPr>
          <w:lang w:val="en-US"/>
        </w:rPr>
        <w:t>Restoring of insulin-synthesizing cell pool</w:t>
      </w:r>
      <w:r>
        <w:rPr>
          <w:lang w:val="en-US"/>
        </w:rPr>
        <w:t xml:space="preserve"> and function</w:t>
      </w:r>
      <w:r w:rsidRPr="007F5A49">
        <w:rPr>
          <w:lang w:val="en-US"/>
        </w:rPr>
        <w:t xml:space="preserve"> b</w:t>
      </w:r>
      <w:r>
        <w:rPr>
          <w:lang w:val="en-US"/>
        </w:rPr>
        <w:t>y means of   macrophage</w:t>
      </w:r>
      <w:r w:rsidRPr="007F5A49">
        <w:rPr>
          <w:lang w:val="en-US"/>
        </w:rPr>
        <w:t xml:space="preserve"> modulat</w:t>
      </w:r>
      <w:r>
        <w:rPr>
          <w:lang w:val="en-US"/>
        </w:rPr>
        <w:t>ion can be a promising way</w:t>
      </w:r>
      <w:r w:rsidRPr="007F5A49">
        <w:rPr>
          <w:lang w:val="en-US"/>
        </w:rPr>
        <w:t xml:space="preserve"> </w:t>
      </w:r>
      <w:r>
        <w:rPr>
          <w:lang w:val="en-US"/>
        </w:rPr>
        <w:t xml:space="preserve">of DM2 </w:t>
      </w:r>
      <w:r w:rsidRPr="007F5A49">
        <w:rPr>
          <w:lang w:val="en-US"/>
        </w:rPr>
        <w:t>treatmen</w:t>
      </w:r>
      <w:r>
        <w:rPr>
          <w:lang w:val="en-US"/>
        </w:rPr>
        <w:t>t.</w:t>
      </w:r>
    </w:p>
    <w:p w:rsidR="00887B1B" w:rsidRPr="009D0DCC" w:rsidRDefault="00887B1B" w:rsidP="00887B1B">
      <w:pPr>
        <w:pStyle w:val="a3"/>
        <w:spacing w:line="360" w:lineRule="auto"/>
        <w:rPr>
          <w:rFonts w:ascii="yandex-sans" w:hAnsi="yandex-sans"/>
          <w:color w:val="000000"/>
          <w:sz w:val="24"/>
          <w:szCs w:val="24"/>
          <w:lang w:val="en-US"/>
        </w:rPr>
      </w:pPr>
      <w:r w:rsidRPr="0023062C">
        <w:rPr>
          <w:rFonts w:ascii="yandex-sans" w:hAnsi="yandex-sans"/>
          <w:color w:val="000000"/>
          <w:sz w:val="24"/>
          <w:szCs w:val="24"/>
          <w:lang w:val="en-US"/>
        </w:rPr>
        <w:t>The stud</w:t>
      </w:r>
      <w:r>
        <w:rPr>
          <w:rFonts w:ascii="yandex-sans" w:hAnsi="yandex-sans"/>
          <w:color w:val="000000"/>
          <w:sz w:val="24"/>
          <w:szCs w:val="24"/>
          <w:lang w:val="en-US"/>
        </w:rPr>
        <w:t>y was supported by a grant from</w:t>
      </w:r>
      <w:r w:rsidRPr="009D0DCC">
        <w:rPr>
          <w:rFonts w:ascii="yandex-sans" w:hAnsi="yandex-sans"/>
          <w:color w:val="000000"/>
          <w:sz w:val="24"/>
          <w:szCs w:val="24"/>
          <w:lang w:val="en-US"/>
        </w:rPr>
        <w:t xml:space="preserve"> </w:t>
      </w:r>
      <w:r w:rsidRPr="0023062C">
        <w:rPr>
          <w:rFonts w:ascii="yandex-sans" w:hAnsi="yandex-sans"/>
          <w:color w:val="000000"/>
          <w:sz w:val="24"/>
          <w:szCs w:val="24"/>
          <w:lang w:val="en-US"/>
        </w:rPr>
        <w:t>the Russian Science Foundation 16-15-0039</w:t>
      </w:r>
      <w:r w:rsidRPr="00274858">
        <w:rPr>
          <w:rFonts w:ascii="yandex-sans" w:hAnsi="yandex-sans"/>
          <w:color w:val="000000"/>
          <w:sz w:val="24"/>
          <w:szCs w:val="24"/>
          <w:lang w:val="en-US"/>
        </w:rPr>
        <w:t>-</w:t>
      </w:r>
      <w:r>
        <w:rPr>
          <w:rFonts w:ascii="yandex-sans" w:hAnsi="yandex-sans"/>
          <w:color w:val="000000"/>
          <w:sz w:val="24"/>
          <w:szCs w:val="24"/>
        </w:rPr>
        <w:t>П</w:t>
      </w:r>
      <w:r w:rsidRPr="0023062C">
        <w:rPr>
          <w:rFonts w:ascii="yandex-sans" w:hAnsi="yandex-sans"/>
          <w:color w:val="000000"/>
          <w:sz w:val="24"/>
          <w:szCs w:val="24"/>
          <w:lang w:val="en-US"/>
        </w:rPr>
        <w:t>.</w:t>
      </w:r>
    </w:p>
    <w:p w:rsidR="0066707C" w:rsidRDefault="0066707C" w:rsidP="00C81338">
      <w:pPr>
        <w:pStyle w:val="a3"/>
        <w:spacing w:line="360" w:lineRule="auto"/>
        <w:rPr>
          <w:rFonts w:ascii="yandex-sans" w:hAnsi="yandex-sans"/>
          <w:color w:val="000000"/>
          <w:sz w:val="24"/>
          <w:szCs w:val="24"/>
          <w:lang w:val="en-US"/>
        </w:rPr>
      </w:pPr>
    </w:p>
    <w:p w:rsidR="0066707C" w:rsidRPr="0080441C" w:rsidRDefault="0066707C" w:rsidP="00C81338">
      <w:pPr>
        <w:pStyle w:val="a3"/>
        <w:spacing w:line="360" w:lineRule="auto"/>
        <w:rPr>
          <w:rFonts w:ascii="yandex-sans" w:hAnsi="yandex-sans"/>
          <w:color w:val="000000"/>
          <w:sz w:val="24"/>
          <w:szCs w:val="24"/>
          <w:lang w:val="en-US"/>
        </w:rPr>
      </w:pPr>
    </w:p>
    <w:p w:rsidR="0066707C" w:rsidRPr="0066707C" w:rsidRDefault="0066707C" w:rsidP="0066707C">
      <w:pPr>
        <w:spacing w:line="360" w:lineRule="auto"/>
        <w:rPr>
          <w:lang w:val="en-US"/>
        </w:rPr>
      </w:pPr>
      <w:r>
        <w:rPr>
          <w:lang w:val="en-US"/>
        </w:rPr>
        <w:t>Irina Gette has completed her PhD at the age of 3</w:t>
      </w:r>
      <w:r w:rsidRPr="0066707C">
        <w:rPr>
          <w:lang w:val="en-US"/>
        </w:rPr>
        <w:t xml:space="preserve">5 years from </w:t>
      </w:r>
      <w:r>
        <w:rPr>
          <w:lang w:val="en-US"/>
        </w:rPr>
        <w:t xml:space="preserve">Ural State Medical Academy. She is senior researcher in the Ural Federal University, and senior researcher in the Institute of Immunology and Physiology. She has published more than </w:t>
      </w:r>
      <w:r w:rsidRPr="0066707C">
        <w:rPr>
          <w:lang w:val="en-US"/>
        </w:rPr>
        <w:t>5</w:t>
      </w:r>
      <w:r>
        <w:rPr>
          <w:lang w:val="en-US"/>
        </w:rPr>
        <w:t>0</w:t>
      </w:r>
      <w:r w:rsidRPr="0066707C">
        <w:rPr>
          <w:lang w:val="en-US"/>
        </w:rPr>
        <w:t xml:space="preserve"> papers in reputed journals. </w:t>
      </w:r>
      <w:r w:rsidRPr="0066707C">
        <w:rPr>
          <w:lang w:val="en-US"/>
        </w:rPr>
        <w:br/>
      </w:r>
    </w:p>
    <w:p w:rsidR="00DC22BC" w:rsidRPr="008A690F" w:rsidRDefault="00DC22BC" w:rsidP="00DC22BC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Gette Irina </w:t>
      </w:r>
      <w:proofErr w:type="spellStart"/>
      <w:r>
        <w:rPr>
          <w:lang w:val="en-NZ"/>
        </w:rPr>
        <w:t>Feodorovna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89090195322</w:t>
      </w:r>
      <w:r w:rsidRPr="008A690F">
        <w:rPr>
          <w:lang w:val="en-NZ"/>
        </w:rPr>
        <w:br/>
        <w:t>Twitter account:</w:t>
      </w:r>
      <w:r w:rsidR="00BE3FD5">
        <w:rPr>
          <w:lang w:val="en-NZ"/>
        </w:rPr>
        <w:t xml:space="preserve"> </w:t>
      </w:r>
      <w:bookmarkStart w:id="0" w:name="_GoBack"/>
      <w:bookmarkEnd w:id="0"/>
      <w:r w:rsidRPr="008A690F">
        <w:rPr>
          <w:lang w:val="en-NZ"/>
        </w:rPr>
        <w:br/>
        <w:t>Linked In account:</w:t>
      </w:r>
    </w:p>
    <w:p w:rsidR="00C81338" w:rsidRDefault="00DC22BC" w:rsidP="00F2064B">
      <w:pPr>
        <w:spacing w:line="360" w:lineRule="auto"/>
        <w:rPr>
          <w:lang w:val="en-US"/>
        </w:rPr>
      </w:pPr>
      <w:r w:rsidRPr="008A690F">
        <w:rPr>
          <w:lang w:val="en-NZ"/>
        </w:rPr>
        <w:t>Session</w:t>
      </w:r>
      <w:r w:rsidR="00F2064B">
        <w:rPr>
          <w:lang w:val="en-NZ"/>
        </w:rPr>
        <w:t xml:space="preserve"> </w:t>
      </w:r>
      <w:hyperlink r:id="rId6" w:tooltip="Diabetes: Types and its Complications" w:history="1">
        <w:r w:rsidR="00F2064B" w:rsidRPr="00F2064B">
          <w:rPr>
            <w:lang w:val="en-NZ"/>
          </w:rPr>
          <w:t xml:space="preserve">Diabetes: </w:t>
        </w:r>
      </w:hyperlink>
      <w:r w:rsidRPr="008A690F">
        <w:rPr>
          <w:lang w:val="en-NZ"/>
        </w:rPr>
        <w:t xml:space="preserve"> name/ number:</w:t>
      </w:r>
      <w:r w:rsidR="00F2064B">
        <w:rPr>
          <w:lang w:val="en-NZ"/>
        </w:rPr>
        <w:t xml:space="preserve"> </w:t>
      </w:r>
      <w:r w:rsidR="00887B1B">
        <w:rPr>
          <w:lang w:val="en-NZ"/>
        </w:rPr>
        <w:t xml:space="preserve"> </w:t>
      </w:r>
      <w:hyperlink r:id="rId7" w:tooltip="Endocrinology and Diabetes" w:history="1">
        <w:r w:rsidR="00887B1B" w:rsidRPr="00887B1B">
          <w:rPr>
            <w:lang w:val="en-NZ"/>
          </w:rPr>
          <w:t>Endocrinology and Diabetes</w:t>
        </w:r>
      </w:hyperlink>
      <w:r w:rsidR="00887B1B">
        <w:rPr>
          <w:lang w:val="en-NZ"/>
        </w:rPr>
        <w:t>/ Tract 01</w:t>
      </w:r>
      <w:r w:rsidRPr="008A690F">
        <w:rPr>
          <w:lang w:val="en-NZ"/>
        </w:rPr>
        <w:br/>
        <w:t>Category: (</w:t>
      </w:r>
      <w:r w:rsidRPr="001D4469">
        <w:rPr>
          <w:u w:val="single"/>
          <w:lang w:val="en-NZ"/>
        </w:rPr>
        <w:t>Oral presentation</w:t>
      </w:r>
      <w:r w:rsidRPr="008A690F">
        <w:rPr>
          <w:lang w:val="en-NZ"/>
        </w:rPr>
        <w:t>/ Poster presentation)</w:t>
      </w:r>
      <w:r w:rsidR="00F2064B">
        <w:rPr>
          <w:lang w:val="en-NZ"/>
        </w:rPr>
        <w:t xml:space="preserve"> </w:t>
      </w:r>
      <w:r w:rsidR="00F2064B" w:rsidRPr="008A690F">
        <w:rPr>
          <w:lang w:val="en-NZ"/>
        </w:rPr>
        <w:t>Oral presentation</w:t>
      </w:r>
    </w:p>
    <w:p w:rsidR="00E5119A" w:rsidRDefault="00E5119A" w:rsidP="006A5B75">
      <w:pPr>
        <w:spacing w:line="360" w:lineRule="auto"/>
        <w:jc w:val="both"/>
        <w:rPr>
          <w:lang w:val="en-US"/>
        </w:rPr>
      </w:pPr>
    </w:p>
    <w:p w:rsidR="00E5119A" w:rsidRDefault="00E5119A" w:rsidP="006A5B75">
      <w:pPr>
        <w:spacing w:line="360" w:lineRule="auto"/>
        <w:jc w:val="both"/>
        <w:rPr>
          <w:lang w:val="en-US"/>
        </w:rPr>
      </w:pPr>
    </w:p>
    <w:p w:rsidR="00E5119A" w:rsidRDefault="00E5119A" w:rsidP="006A5B75">
      <w:pPr>
        <w:spacing w:line="360" w:lineRule="auto"/>
        <w:jc w:val="both"/>
        <w:rPr>
          <w:lang w:val="en-US"/>
        </w:rPr>
      </w:pPr>
    </w:p>
    <w:p w:rsidR="006A5B75" w:rsidRPr="00093EAD" w:rsidRDefault="006A5B75" w:rsidP="006A5B75">
      <w:pPr>
        <w:spacing w:line="360" w:lineRule="auto"/>
        <w:jc w:val="both"/>
        <w:rPr>
          <w:lang w:val="en-US"/>
        </w:rPr>
      </w:pPr>
      <w:r w:rsidRPr="00093EAD">
        <w:rPr>
          <w:lang w:val="en-US"/>
        </w:rPr>
        <w:t xml:space="preserve"> </w:t>
      </w:r>
    </w:p>
    <w:p w:rsidR="006A5B75" w:rsidRPr="004E761E" w:rsidRDefault="006A5B75" w:rsidP="006A5B75">
      <w:pPr>
        <w:rPr>
          <w:lang w:val="en-US"/>
        </w:rPr>
      </w:pPr>
    </w:p>
    <w:p w:rsidR="009C7D1E" w:rsidRDefault="004A7DAB" w:rsidP="009C7D1E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  </w:t>
      </w:r>
      <w:r w:rsidR="00B760C9">
        <w:rPr>
          <w:lang w:val="en-US"/>
        </w:rPr>
        <w:t xml:space="preserve"> </w:t>
      </w:r>
      <w:r w:rsidR="009C7D1E">
        <w:rPr>
          <w:lang w:val="en-US"/>
        </w:rPr>
        <w:t xml:space="preserve"> </w:t>
      </w:r>
    </w:p>
    <w:p w:rsidR="009C7D1E" w:rsidRDefault="009C7D1E" w:rsidP="009C7D1E">
      <w:pPr>
        <w:spacing w:line="360" w:lineRule="auto"/>
        <w:jc w:val="both"/>
        <w:rPr>
          <w:lang w:val="en-US"/>
        </w:rPr>
      </w:pPr>
    </w:p>
    <w:p w:rsidR="004E761E" w:rsidRPr="004E761E" w:rsidRDefault="004E761E">
      <w:pPr>
        <w:rPr>
          <w:lang w:val="en-US"/>
        </w:rPr>
      </w:pPr>
    </w:p>
    <w:sectPr w:rsidR="004E761E" w:rsidRPr="004E7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9CC"/>
    <w:rsid w:val="001D4469"/>
    <w:rsid w:val="0021211B"/>
    <w:rsid w:val="00274858"/>
    <w:rsid w:val="004A7DAB"/>
    <w:rsid w:val="004E761E"/>
    <w:rsid w:val="0066707C"/>
    <w:rsid w:val="006A5B75"/>
    <w:rsid w:val="006C79CC"/>
    <w:rsid w:val="00887B1B"/>
    <w:rsid w:val="00932C8C"/>
    <w:rsid w:val="00974FB2"/>
    <w:rsid w:val="009764FC"/>
    <w:rsid w:val="009C7D1E"/>
    <w:rsid w:val="00A94C50"/>
    <w:rsid w:val="00AC4BC0"/>
    <w:rsid w:val="00B61362"/>
    <w:rsid w:val="00B760C9"/>
    <w:rsid w:val="00BE3FD5"/>
    <w:rsid w:val="00C81338"/>
    <w:rsid w:val="00DC22BC"/>
    <w:rsid w:val="00DC68F8"/>
    <w:rsid w:val="00E20D1D"/>
    <w:rsid w:val="00E5119A"/>
    <w:rsid w:val="00F2064B"/>
    <w:rsid w:val="00F2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61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11B"/>
    <w:pPr>
      <w:spacing w:after="0" w:line="240" w:lineRule="auto"/>
    </w:pPr>
  </w:style>
  <w:style w:type="paragraph" w:customStyle="1" w:styleId="1">
    <w:name w:val="1 Знак Знак Знак Знак"/>
    <w:basedOn w:val="a"/>
    <w:rsid w:val="004E761E"/>
    <w:pPr>
      <w:spacing w:after="200"/>
    </w:pPr>
    <w:rPr>
      <w:rFonts w:ascii="Arial" w:hAnsi="Arial" w:cs="Arial"/>
      <w:color w:val="auto"/>
      <w:sz w:val="22"/>
      <w:szCs w:val="22"/>
      <w:lang w:val="en-US" w:eastAsia="en-US"/>
    </w:rPr>
  </w:style>
  <w:style w:type="paragraph" w:styleId="a4">
    <w:name w:val="List Paragraph"/>
    <w:basedOn w:val="a"/>
    <w:uiPriority w:val="34"/>
    <w:qFormat/>
    <w:rsid w:val="00DC68F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2064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13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1362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61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11B"/>
    <w:pPr>
      <w:spacing w:after="0" w:line="240" w:lineRule="auto"/>
    </w:pPr>
  </w:style>
  <w:style w:type="paragraph" w:customStyle="1" w:styleId="1">
    <w:name w:val="1 Знак Знак Знак Знак"/>
    <w:basedOn w:val="a"/>
    <w:rsid w:val="004E761E"/>
    <w:pPr>
      <w:spacing w:after="200"/>
    </w:pPr>
    <w:rPr>
      <w:rFonts w:ascii="Arial" w:hAnsi="Arial" w:cs="Arial"/>
      <w:color w:val="auto"/>
      <w:sz w:val="22"/>
      <w:szCs w:val="22"/>
      <w:lang w:val="en-US" w:eastAsia="en-US"/>
    </w:rPr>
  </w:style>
  <w:style w:type="paragraph" w:styleId="a4">
    <w:name w:val="List Paragraph"/>
    <w:basedOn w:val="a"/>
    <w:uiPriority w:val="34"/>
    <w:qFormat/>
    <w:rsid w:val="00DC68F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2064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13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1362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docrinology.endocrineconferences.com/events-list/endocrinology-and-diabet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ndocrinology.endocrineconferences.com/events-list/diabetes-types-and-its-complication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2019-04-18T06:02:00Z</dcterms:created>
  <dcterms:modified xsi:type="dcterms:W3CDTF">2019-04-19T11:23:00Z</dcterms:modified>
</cp:coreProperties>
</file>