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E4C" w:rsidRDefault="00951E4C" w:rsidP="00951E4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Diabetic Retinopathy Grade as a Predictive Marker of Stroke and Mortality in Type 2 Diabetes Mellitus Patients with Amp</w:t>
      </w:r>
      <w:r w:rsidR="002B7027">
        <w:rPr>
          <w:rFonts w:ascii="Arial" w:hAnsi="Arial" w:cs="Arial"/>
          <w:b/>
          <w:bCs/>
          <w:sz w:val="24"/>
          <w:szCs w:val="24"/>
        </w:rPr>
        <w:t>utations- Seven Years Longitudinal Study</w:t>
      </w:r>
    </w:p>
    <w:p w:rsidR="00951E4C" w:rsidRDefault="00951E4C" w:rsidP="00951E4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51E4C" w:rsidRDefault="00951E4C" w:rsidP="00951E4C">
      <w:pPr>
        <w:spacing w:before="100" w:beforeAutospacing="1" w:after="100" w:afterAutospacing="1"/>
      </w:pPr>
      <w:r>
        <w:rPr>
          <w:rFonts w:ascii="Arial" w:hAnsi="Arial" w:cs="Arial"/>
          <w:sz w:val="24"/>
          <w:szCs w:val="24"/>
        </w:rPr>
        <w:t xml:space="preserve">We explored the association of grade of Diabetic </w:t>
      </w:r>
      <w:r>
        <w:rPr>
          <w:rFonts w:ascii="Arial" w:hAnsi="Arial" w:cs="Arial"/>
          <w:sz w:val="24"/>
          <w:szCs w:val="24"/>
          <w:lang w:val="en-US"/>
        </w:rPr>
        <w:t>Retinopathy (</w:t>
      </w:r>
      <w:r>
        <w:rPr>
          <w:rFonts w:ascii="Arial" w:hAnsi="Arial" w:cs="Arial"/>
          <w:sz w:val="24"/>
          <w:szCs w:val="24"/>
        </w:rPr>
        <w:t>DR) with amputations in 2500, T2DM patients (males 1295, females 1205) who were screened for DR, followed up for 7 yea</w:t>
      </w:r>
      <w:r w:rsidR="006C4FEF">
        <w:rPr>
          <w:rFonts w:ascii="Arial" w:hAnsi="Arial" w:cs="Arial"/>
          <w:sz w:val="24"/>
          <w:szCs w:val="24"/>
        </w:rPr>
        <w:t>rs.</w:t>
      </w:r>
      <w:r>
        <w:rPr>
          <w:rFonts w:ascii="Arial" w:hAnsi="Arial" w:cs="Arial"/>
          <w:sz w:val="24"/>
          <w:szCs w:val="24"/>
        </w:rPr>
        <w:t xml:space="preserve">DR was observed in 56% patients [Non Proliferative DR (NPDR) n=962, 38%; Proliferative DR (PDR) n=438, 18%] demonstrating a strong association with all types of amputations (p&lt;0.00001),Significant association was observed with comorbidities of hypertension, </w:t>
      </w:r>
      <w:proofErr w:type="spellStart"/>
      <w:r>
        <w:rPr>
          <w:rFonts w:ascii="Arial" w:hAnsi="Arial" w:cs="Arial"/>
          <w:sz w:val="24"/>
          <w:szCs w:val="24"/>
        </w:rPr>
        <w:t>dyslipidemia</w:t>
      </w:r>
      <w:proofErr w:type="spellEnd"/>
      <w:r>
        <w:rPr>
          <w:rFonts w:ascii="Arial" w:hAnsi="Arial" w:cs="Arial"/>
          <w:sz w:val="24"/>
          <w:szCs w:val="24"/>
        </w:rPr>
        <w:t xml:space="preserve"> and </w:t>
      </w:r>
      <w:proofErr w:type="spellStart"/>
      <w:r>
        <w:rPr>
          <w:rFonts w:ascii="Arial" w:hAnsi="Arial" w:cs="Arial"/>
          <w:sz w:val="24"/>
          <w:szCs w:val="24"/>
        </w:rPr>
        <w:t>hyperhomocysteinemia</w:t>
      </w:r>
      <w:proofErr w:type="spellEnd"/>
      <w:r>
        <w:rPr>
          <w:rFonts w:ascii="Arial" w:hAnsi="Arial" w:cs="Arial"/>
          <w:sz w:val="24"/>
          <w:szCs w:val="24"/>
        </w:rPr>
        <w:t xml:space="preserve"> (p&lt;0.00001). The age </w:t>
      </w:r>
      <w:proofErr w:type="spellStart"/>
      <w:r>
        <w:rPr>
          <w:rFonts w:ascii="Arial" w:hAnsi="Arial" w:cs="Arial"/>
          <w:sz w:val="24"/>
          <w:szCs w:val="24"/>
        </w:rPr>
        <w:t>tertile</w:t>
      </w:r>
      <w:proofErr w:type="spellEnd"/>
      <w:r>
        <w:rPr>
          <w:rFonts w:ascii="Arial" w:hAnsi="Arial" w:cs="Arial"/>
          <w:sz w:val="24"/>
          <w:szCs w:val="24"/>
        </w:rPr>
        <w:t xml:space="preserve"> of 40-60 years with amputations reported highest number of NPDR and PDR, n=561 and n=263 respectively; highest </w:t>
      </w:r>
      <w:proofErr w:type="spellStart"/>
      <w:r>
        <w:rPr>
          <w:rFonts w:ascii="Arial" w:hAnsi="Arial" w:cs="Arial"/>
          <w:sz w:val="24"/>
          <w:szCs w:val="24"/>
        </w:rPr>
        <w:t>tertile</w:t>
      </w:r>
      <w:proofErr w:type="spellEnd"/>
      <w:r>
        <w:rPr>
          <w:rFonts w:ascii="Arial" w:hAnsi="Arial" w:cs="Arial"/>
          <w:sz w:val="24"/>
          <w:szCs w:val="24"/>
        </w:rPr>
        <w:t xml:space="preserve"> of HbA1c (&gt;15%) and duration of diabetes (&gt;15 years) corroborated with the high incidence of NPDR (n=421, 70%) and (n=449, 70%), respectively (p&lt;0.00001).Seven years follow up revealed high incidence of new amputations (n=610; NPDR n= 372, PDR n=238) (p&lt;0.00001). 637 patients with DR (NPDR, n= 515; PDR n=122) developed stroke (p&lt;0.00001). Two or more fundus lesions increased the propensity of stroke and mortality. The mortality in patients with DR was 33.76% (n=844) of which 282 patients died due to stroke (p&lt;0.00001). Overall, ischemic stroke was the leading cause of mortality in 83.82% patients, with lacunar stroke (n=340) as the commonest anatomical sub-type of stroke (p&lt;0.00001). Patients with DR, especially with NPDR should be managed intensively to prevent fatal cerebrovascular events. Diagnosis of DR in patients who underwent amputations, can be used as a stratified model in association with comorbidities to predict stroke and the mortality. </w:t>
      </w:r>
    </w:p>
    <w:p w:rsidR="002A11E9" w:rsidRDefault="002A11E9" w:rsidP="007C0DF7">
      <w:pPr>
        <w:pStyle w:val="NormalWeb"/>
        <w:numPr>
          <w:ilvl w:val="0"/>
          <w:numId w:val="1"/>
        </w:numPr>
        <w:spacing w:before="200" w:beforeAutospacing="0" w:after="0" w:afterAutospacing="0" w:line="216" w:lineRule="auto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  <w:proofErr w:type="spellStart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D</w:t>
      </w: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r</w:t>
      </w:r>
      <w:proofErr w:type="spellEnd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Kiran</w:t>
      </w:r>
      <w:proofErr w:type="spellEnd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Shah, Diabetologist</w:t>
      </w:r>
    </w:p>
    <w:p w:rsidR="007C0DF7" w:rsidRPr="002A11E9" w:rsidRDefault="007C0DF7" w:rsidP="002A11E9">
      <w:pPr>
        <w:pStyle w:val="NormalWeb"/>
        <w:spacing w:before="200" w:beforeAutospacing="0" w:after="0" w:afterAutospacing="0" w:line="216" w:lineRule="auto"/>
        <w:rPr>
          <w:rFonts w:ascii="Arial" w:hAnsi="Arial" w:cs="Arial"/>
          <w:sz w:val="28"/>
          <w:szCs w:val="28"/>
        </w:rPr>
      </w:pPr>
    </w:p>
    <w:p w:rsidR="002A11E9" w:rsidRPr="002A11E9" w:rsidRDefault="002A11E9" w:rsidP="007C0DF7">
      <w:pPr>
        <w:pStyle w:val="NormalWeb"/>
        <w:spacing w:before="0" w:beforeAutospacing="0" w:after="0" w:afterAutospacing="0"/>
        <w:ind w:firstLine="360"/>
        <w:rPr>
          <w:rFonts w:ascii="Arial" w:hAnsi="Arial" w:cs="Arial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Grant Medical College &amp; Sir J.J Group of Hospitals</w:t>
      </w:r>
    </w:p>
    <w:p w:rsidR="002A11E9" w:rsidRPr="002A11E9" w:rsidRDefault="002A11E9" w:rsidP="007C0DF7">
      <w:pPr>
        <w:pStyle w:val="NormalWeb"/>
        <w:spacing w:before="0" w:beforeAutospacing="0" w:after="0" w:afterAutospacing="0"/>
        <w:ind w:firstLine="360"/>
        <w:rPr>
          <w:rFonts w:ascii="Arial" w:hAnsi="Arial" w:cs="Arial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Diabetes &amp; Thyroid Care Center</w:t>
      </w:r>
    </w:p>
    <w:p w:rsidR="002A11E9" w:rsidRPr="002A11E9" w:rsidRDefault="002A11E9" w:rsidP="007C0DF7">
      <w:pPr>
        <w:pStyle w:val="NormalWeb"/>
        <w:spacing w:before="0" w:beforeAutospacing="0" w:after="0" w:afterAutospacing="0"/>
        <w:ind w:firstLine="360"/>
        <w:rPr>
          <w:rFonts w:ascii="Arial" w:hAnsi="Arial" w:cs="Arial"/>
        </w:rPr>
      </w:pPr>
      <w:proofErr w:type="spellStart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Wockhardt</w:t>
      </w:r>
      <w:proofErr w:type="spellEnd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Hospital South Mumbai</w:t>
      </w:r>
    </w:p>
    <w:p w:rsidR="002A11E9" w:rsidRPr="002A11E9" w:rsidRDefault="002A11E9" w:rsidP="007C0DF7">
      <w:pPr>
        <w:pStyle w:val="NormalWeb"/>
        <w:spacing w:before="0" w:beforeAutospacing="0" w:after="0" w:afterAutospacing="0"/>
        <w:ind w:firstLine="360"/>
        <w:rPr>
          <w:rFonts w:ascii="Arial" w:hAnsi="Arial" w:cs="Arial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Aditya Jyot Eye Hospital </w:t>
      </w:r>
      <w:proofErr w:type="spellStart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Pvt</w:t>
      </w:r>
      <w:proofErr w:type="spellEnd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Ltd </w:t>
      </w:r>
    </w:p>
    <w:p w:rsidR="002A11E9" w:rsidRPr="002A11E9" w:rsidRDefault="002A11E9" w:rsidP="007C0DF7">
      <w:pPr>
        <w:pStyle w:val="NormalWeb"/>
        <w:spacing w:before="0" w:beforeAutospacing="0" w:after="0" w:afterAutospacing="0"/>
        <w:ind w:firstLine="360"/>
        <w:rPr>
          <w:rFonts w:ascii="Arial" w:hAnsi="Arial" w:cs="Arial"/>
        </w:rPr>
      </w:pPr>
      <w:proofErr w:type="spellStart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Conwest</w:t>
      </w:r>
      <w:proofErr w:type="spellEnd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Jain Hospital</w:t>
      </w:r>
    </w:p>
    <w:p w:rsidR="002A11E9" w:rsidRPr="002A11E9" w:rsidRDefault="002A11E9" w:rsidP="007C0DF7">
      <w:pPr>
        <w:pStyle w:val="NormalWeb"/>
        <w:spacing w:before="0" w:beforeAutospacing="0" w:after="0" w:afterAutospacing="0"/>
        <w:ind w:firstLine="360"/>
        <w:rPr>
          <w:rFonts w:ascii="Arial" w:hAnsi="Arial" w:cs="Arial"/>
        </w:rPr>
      </w:pPr>
      <w:proofErr w:type="spellStart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Masina</w:t>
      </w:r>
      <w:proofErr w:type="spellEnd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Hospital</w:t>
      </w:r>
    </w:p>
    <w:p w:rsidR="002A11E9" w:rsidRDefault="002A11E9" w:rsidP="007C0DF7">
      <w:pPr>
        <w:pStyle w:val="NormalWeb"/>
        <w:spacing w:before="0" w:beforeAutospacing="0" w:after="0" w:afterAutospacing="0"/>
        <w:ind w:firstLine="360"/>
        <w:rPr>
          <w:rFonts w:ascii="Arial" w:eastAsiaTheme="minorEastAsia" w:hAnsi="Arial" w:cs="Arial"/>
          <w:b/>
          <w:bCs/>
          <w:color w:val="000000" w:themeColor="text1"/>
          <w:kern w:val="24"/>
        </w:rPr>
      </w:pPr>
      <w:proofErr w:type="spellStart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Nagpada</w:t>
      </w:r>
      <w:proofErr w:type="spellEnd"/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Police Hospital</w:t>
      </w:r>
    </w:p>
    <w:p w:rsidR="007C0DF7" w:rsidRPr="002A11E9" w:rsidRDefault="007C0DF7" w:rsidP="002A11E9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2A11E9" w:rsidRDefault="002A11E9" w:rsidP="007C0DF7">
      <w:pPr>
        <w:pStyle w:val="NormalWeb"/>
        <w:numPr>
          <w:ilvl w:val="0"/>
          <w:numId w:val="1"/>
        </w:numPr>
        <w:spacing w:before="0" w:beforeAutospacing="0" w:after="0" w:afterAutospacing="0" w:line="216" w:lineRule="auto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Editorial Board </w:t>
      </w:r>
    </w:p>
    <w:p w:rsidR="007C0DF7" w:rsidRPr="002A11E9" w:rsidRDefault="007C0DF7" w:rsidP="007C0DF7">
      <w:pPr>
        <w:pStyle w:val="NormalWeb"/>
        <w:spacing w:before="0" w:beforeAutospacing="0" w:after="0" w:afterAutospacing="0" w:line="216" w:lineRule="auto"/>
        <w:rPr>
          <w:rFonts w:ascii="Arial" w:hAnsi="Arial" w:cs="Arial"/>
          <w:sz w:val="28"/>
          <w:szCs w:val="28"/>
        </w:rPr>
      </w:pPr>
    </w:p>
    <w:p w:rsidR="002A11E9" w:rsidRPr="002A11E9" w:rsidRDefault="002A11E9" w:rsidP="007C0DF7">
      <w:pPr>
        <w:pStyle w:val="NormalWeb"/>
        <w:spacing w:before="0" w:beforeAutospacing="0" w:after="0" w:afterAutospacing="0" w:line="216" w:lineRule="auto"/>
        <w:ind w:firstLine="360"/>
        <w:rPr>
          <w:rFonts w:ascii="Arial" w:hAnsi="Arial" w:cs="Arial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Integrative Diabetes &amp; Cardiovascular Diseases</w:t>
      </w:r>
    </w:p>
    <w:p w:rsidR="002A11E9" w:rsidRPr="002A11E9" w:rsidRDefault="002A11E9" w:rsidP="007C0DF7">
      <w:pPr>
        <w:pStyle w:val="NormalWeb"/>
        <w:spacing w:before="0" w:beforeAutospacing="0" w:after="0" w:afterAutospacing="0" w:line="216" w:lineRule="auto"/>
        <w:ind w:firstLine="360"/>
        <w:rPr>
          <w:rFonts w:ascii="Arial" w:hAnsi="Arial" w:cs="Arial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International Medicine </w:t>
      </w:r>
    </w:p>
    <w:p w:rsidR="002A11E9" w:rsidRPr="002A11E9" w:rsidRDefault="002A11E9" w:rsidP="007C0DF7">
      <w:pPr>
        <w:pStyle w:val="NormalWeb"/>
        <w:numPr>
          <w:ilvl w:val="0"/>
          <w:numId w:val="1"/>
        </w:numPr>
        <w:spacing w:before="120" w:beforeAutospacing="0" w:after="0" w:afterAutospacing="0" w:line="216" w:lineRule="auto"/>
        <w:rPr>
          <w:rFonts w:ascii="Arial" w:hAnsi="Arial" w:cs="Arial"/>
          <w:sz w:val="28"/>
          <w:szCs w:val="28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Journal Reviewer</w:t>
      </w:r>
    </w:p>
    <w:p w:rsidR="002A11E9" w:rsidRPr="002A11E9" w:rsidRDefault="002A11E9" w:rsidP="007C0DF7">
      <w:pPr>
        <w:pStyle w:val="NormalWeb"/>
        <w:spacing w:before="120" w:beforeAutospacing="0" w:after="0" w:afterAutospacing="0" w:line="216" w:lineRule="auto"/>
        <w:ind w:firstLine="360"/>
        <w:textAlignment w:val="baseline"/>
        <w:rPr>
          <w:rFonts w:ascii="Arial" w:hAnsi="Arial" w:cs="Arial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</w:rPr>
        <w:t>ADA peer-reviewed Journals</w:t>
      </w:r>
    </w:p>
    <w:p w:rsidR="002A11E9" w:rsidRPr="002A11E9" w:rsidRDefault="002A11E9" w:rsidP="007C0DF7">
      <w:pPr>
        <w:pStyle w:val="NormalWeb"/>
        <w:numPr>
          <w:ilvl w:val="0"/>
          <w:numId w:val="1"/>
        </w:numPr>
        <w:spacing w:before="120" w:beforeAutospacing="0" w:after="0" w:afterAutospacing="0" w:line="216" w:lineRule="auto"/>
        <w:textAlignment w:val="baseline"/>
        <w:rPr>
          <w:rFonts w:ascii="Arial" w:hAnsi="Arial" w:cs="Arial"/>
          <w:sz w:val="28"/>
          <w:szCs w:val="28"/>
        </w:rPr>
      </w:pPr>
      <w:r w:rsidRPr="002A11E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Publications  </w:t>
      </w:r>
    </w:p>
    <w:p w:rsidR="002A11E9" w:rsidRDefault="002A11E9" w:rsidP="008126C3">
      <w:pPr>
        <w:pStyle w:val="NormalWeb"/>
        <w:spacing w:before="120" w:beforeAutospacing="0" w:after="0" w:afterAutospacing="0" w:line="216" w:lineRule="auto"/>
        <w:ind w:firstLine="360"/>
        <w:textAlignment w:val="baseline"/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  <w:t>More than 10 publications in peer reviewed national and international journals</w:t>
      </w:r>
      <w:bookmarkStart w:id="0" w:name="_GoBack"/>
      <w:bookmarkEnd w:id="0"/>
    </w:p>
    <w:sectPr w:rsidR="002A1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15D5C"/>
    <w:multiLevelType w:val="hybridMultilevel"/>
    <w:tmpl w:val="1FFC50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E4C"/>
    <w:rsid w:val="002A11E9"/>
    <w:rsid w:val="002B7027"/>
    <w:rsid w:val="0050140D"/>
    <w:rsid w:val="006C4FEF"/>
    <w:rsid w:val="007C0DF7"/>
    <w:rsid w:val="008126C3"/>
    <w:rsid w:val="0095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628F27-A13D-4164-860C-02E79B0B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E4C"/>
    <w:pPr>
      <w:spacing w:after="0" w:line="240" w:lineRule="auto"/>
    </w:pPr>
    <w:rPr>
      <w:rFonts w:ascii="Calibri" w:hAnsi="Calibri" w:cs="Calibri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1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2019-04-03T06:45:00Z</dcterms:created>
  <dcterms:modified xsi:type="dcterms:W3CDTF">2019-04-03T07:04:00Z</dcterms:modified>
</cp:coreProperties>
</file>