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5CA0A" w14:textId="77777777" w:rsidR="00A450CF" w:rsidRDefault="00A450CF" w:rsidP="00A450CF">
      <w:pPr>
        <w:pStyle w:val="Default"/>
        <w:jc w:val="center"/>
        <w:rPr>
          <w:rFonts w:ascii="Arial" w:hAnsi="Arial" w:cs="Arial"/>
          <w:b/>
          <w:bCs/>
          <w:sz w:val="30"/>
          <w:szCs w:val="30"/>
          <w:lang w:val="it-IT"/>
        </w:rPr>
      </w:pPr>
      <w:r w:rsidRPr="00A450CF">
        <w:rPr>
          <w:rFonts w:ascii="Arial" w:hAnsi="Arial" w:cs="Arial"/>
          <w:b/>
          <w:bCs/>
          <w:sz w:val="30"/>
          <w:szCs w:val="30"/>
        </w:rPr>
        <w:t>A Case Study of Investigation and Prediction of A1C Variances Using Math-Physical</w:t>
      </w:r>
      <w:r w:rsidRPr="00A450CF">
        <w:rPr>
          <w:rFonts w:ascii="Arial" w:hAnsi="Arial" w:cs="Arial"/>
          <w:b/>
          <w:bCs/>
          <w:sz w:val="30"/>
          <w:szCs w:val="30"/>
          <w:lang w:val="it-IT"/>
        </w:rPr>
        <w:t xml:space="preserve"> Medicine</w:t>
      </w:r>
    </w:p>
    <w:p w14:paraId="7D7E3564" w14:textId="77777777" w:rsidR="0001037D" w:rsidRPr="00A450CF" w:rsidRDefault="0001037D" w:rsidP="00A450CF">
      <w:pPr>
        <w:pStyle w:val="Default"/>
        <w:jc w:val="center"/>
        <w:rPr>
          <w:rFonts w:ascii="Arial" w:eastAsia="Times New Roman" w:hAnsi="Arial" w:cs="Arial"/>
          <w:b/>
          <w:bCs/>
          <w:sz w:val="30"/>
          <w:szCs w:val="30"/>
        </w:rPr>
      </w:pPr>
    </w:p>
    <w:p w14:paraId="50FD8FE1" w14:textId="13E01411" w:rsidR="005973B9" w:rsidRPr="00857999" w:rsidRDefault="00A450CF" w:rsidP="00857999">
      <w:pPr>
        <w:pStyle w:val="BodyText"/>
        <w:spacing w:before="73" w:line="276" w:lineRule="auto"/>
        <w:ind w:right="5990"/>
        <w:rPr>
          <w:rFonts w:ascii="Arial"/>
          <w:sz w:val="20"/>
          <w:szCs w:val="20"/>
        </w:rPr>
      </w:pPr>
      <w:r w:rsidRPr="00857999">
        <w:rPr>
          <w:rFonts w:ascii="Arial"/>
          <w:sz w:val="20"/>
          <w:szCs w:val="20"/>
        </w:rPr>
        <w:t>Gerald C. Hsu, eclaireMD Foundation, USA</w:t>
      </w:r>
    </w:p>
    <w:p w14:paraId="63485DE8" w14:textId="77777777" w:rsidR="00AE3E37" w:rsidRDefault="00AE3E37">
      <w:pPr>
        <w:rPr>
          <w:rFonts w:ascii="Arial"/>
          <w:sz w:val="20"/>
          <w:szCs w:val="18"/>
        </w:rPr>
      </w:pPr>
    </w:p>
    <w:p w14:paraId="5F9DAF0A" w14:textId="5C55D139" w:rsidR="00857999" w:rsidRDefault="00857999">
      <w:pPr>
        <w:rPr>
          <w:rFonts w:ascii="Arial"/>
          <w:sz w:val="21"/>
        </w:rPr>
        <w:sectPr w:rsidR="00857999" w:rsidSect="00076615">
          <w:type w:val="continuous"/>
          <w:pgSz w:w="11910" w:h="16840"/>
          <w:pgMar w:top="1135" w:right="600" w:bottom="993" w:left="620" w:header="541" w:footer="642" w:gutter="0"/>
          <w:cols w:space="720"/>
        </w:sectPr>
      </w:pPr>
    </w:p>
    <w:p w14:paraId="6B24D9DF" w14:textId="66519568" w:rsidR="00A450CF" w:rsidRDefault="00A9710C" w:rsidP="00A450CF">
      <w:pPr>
        <w:pStyle w:val="Heading3"/>
        <w:spacing w:before="147"/>
        <w:ind w:left="0"/>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F4FB052" w14:textId="77777777" w:rsidR="00857999" w:rsidRDefault="00857999" w:rsidP="00A450CF">
      <w:pPr>
        <w:pStyle w:val="Default"/>
        <w:rPr>
          <w:rFonts w:ascii="Arial" w:hAnsi="Arial" w:cs="Arial"/>
          <w:b/>
          <w:bCs/>
          <w:sz w:val="18"/>
          <w:szCs w:val="18"/>
          <w:lang w:val="fr-FR"/>
        </w:rPr>
      </w:pPr>
    </w:p>
    <w:p w14:paraId="427D6BCA" w14:textId="6F2C1F04" w:rsidR="00A450CF" w:rsidRPr="00857999" w:rsidRDefault="00A450CF" w:rsidP="00A450CF">
      <w:pPr>
        <w:pStyle w:val="Default"/>
        <w:rPr>
          <w:rFonts w:ascii="Arial" w:hAnsi="Arial" w:cs="Arial"/>
          <w:b/>
          <w:bCs/>
          <w:sz w:val="19"/>
          <w:szCs w:val="19"/>
          <w:lang w:val="fr-FR"/>
        </w:rPr>
      </w:pPr>
      <w:r w:rsidRPr="00857999">
        <w:rPr>
          <w:rFonts w:ascii="Arial" w:hAnsi="Arial" w:cs="Arial"/>
          <w:b/>
          <w:bCs/>
          <w:sz w:val="19"/>
          <w:szCs w:val="19"/>
          <w:lang w:val="fr-FR"/>
        </w:rPr>
        <w:t>Introduction:</w:t>
      </w:r>
    </w:p>
    <w:p w14:paraId="0AAEC582" w14:textId="77777777" w:rsidR="00857999" w:rsidRPr="00857999" w:rsidRDefault="00857999" w:rsidP="00A450CF">
      <w:pPr>
        <w:pStyle w:val="Default"/>
        <w:rPr>
          <w:rFonts w:ascii="Arial" w:eastAsia="Times New Roman" w:hAnsi="Arial" w:cs="Arial"/>
          <w:sz w:val="19"/>
          <w:szCs w:val="19"/>
        </w:rPr>
      </w:pPr>
    </w:p>
    <w:p w14:paraId="044A05EE"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In this case study, the author analyzed, predicted, and interpreted a type 2 diabetes (T2D) patient’s hemoglobin A1C variances based on three periods utilizing math-physical medicine approach.  </w:t>
      </w:r>
    </w:p>
    <w:p w14:paraId="26D23C93"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 </w:t>
      </w:r>
    </w:p>
    <w:p w14:paraId="6A6AA752" w14:textId="6DDBB2D0" w:rsidR="00A450CF" w:rsidRPr="00857999" w:rsidRDefault="00A450CF" w:rsidP="00A450CF">
      <w:pPr>
        <w:pStyle w:val="Default"/>
        <w:rPr>
          <w:rFonts w:ascii="Arial" w:hAnsi="Arial" w:cs="Arial"/>
          <w:b/>
          <w:bCs/>
          <w:sz w:val="19"/>
          <w:szCs w:val="19"/>
        </w:rPr>
      </w:pPr>
      <w:r w:rsidRPr="00857999">
        <w:rPr>
          <w:rFonts w:ascii="Arial" w:hAnsi="Arial" w:cs="Arial"/>
          <w:b/>
          <w:bCs/>
          <w:sz w:val="19"/>
          <w:szCs w:val="19"/>
        </w:rPr>
        <w:t>Method:</w:t>
      </w:r>
    </w:p>
    <w:p w14:paraId="2067C44F" w14:textId="77777777" w:rsidR="00857999" w:rsidRPr="00857999" w:rsidRDefault="00857999" w:rsidP="00A450CF">
      <w:pPr>
        <w:pStyle w:val="Default"/>
        <w:rPr>
          <w:rFonts w:ascii="Arial" w:eastAsia="Times New Roman" w:hAnsi="Arial" w:cs="Arial"/>
          <w:b/>
          <w:bCs/>
          <w:sz w:val="19"/>
          <w:szCs w:val="19"/>
        </w:rPr>
      </w:pPr>
    </w:p>
    <w:p w14:paraId="1504AB32"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There are four hemoglobin A1C checkup results at the same hospital:</w:t>
      </w:r>
    </w:p>
    <w:p w14:paraId="6F284DCA"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6.7% on 4/9/2017</w:t>
      </w:r>
    </w:p>
    <w:p w14:paraId="783D3A29"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6.1% on 9/12/2017</w:t>
      </w:r>
    </w:p>
    <w:p w14:paraId="5FED39CB"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6.9% on 1/26/2018</w:t>
      </w:r>
    </w:p>
    <w:p w14:paraId="2ACF072D"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6.5% on 6/29/2018</w:t>
      </w:r>
    </w:p>
    <w:p w14:paraId="6353086F"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 </w:t>
      </w:r>
    </w:p>
    <w:p w14:paraId="03778848"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The author selected three equal-length periods of five months and observed three measured A1C changes as follows:</w:t>
      </w:r>
    </w:p>
    <w:p w14:paraId="1BB3F299"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Period A (4/1/2017 - 8/31/2017): -0.6%</w:t>
      </w:r>
    </w:p>
    <w:p w14:paraId="616E9326"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Period B (9/1/2017 - 1/31/2018): +0.8%</w:t>
      </w:r>
    </w:p>
    <w:p w14:paraId="6A100227"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Period C (2/1/2018 - 6/30/2018): -0.4%</w:t>
      </w:r>
    </w:p>
    <w:p w14:paraId="032F7AD9"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 </w:t>
      </w:r>
    </w:p>
    <w:p w14:paraId="4F8880CB"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He applied math-physical medicine techniques to analyze three A1C variances contributed by fasting plasma glucose (FPG) via weight change (gain or loss) and colder weather effect on FPG as well as A1C variances contributed by postprandial glucose (PPG) via changes of carbs/sugar intake, post-meal walking, and warmer weather temperature on PPG.  </w:t>
      </w:r>
    </w:p>
    <w:p w14:paraId="1D2806CB" w14:textId="1B69084C" w:rsidR="00A450CF" w:rsidRPr="00857999" w:rsidRDefault="00A450CF" w:rsidP="00A450CF">
      <w:pPr>
        <w:pStyle w:val="Default"/>
        <w:rPr>
          <w:rFonts w:ascii="Arial" w:eastAsia="Times New Roman" w:hAnsi="Arial" w:cs="Arial"/>
          <w:sz w:val="19"/>
          <w:szCs w:val="19"/>
        </w:rPr>
      </w:pPr>
    </w:p>
    <w:p w14:paraId="239955B1" w14:textId="47E2D028" w:rsidR="00A450CF" w:rsidRPr="00857999" w:rsidRDefault="00A450CF" w:rsidP="00A450CF">
      <w:pPr>
        <w:pStyle w:val="Default"/>
        <w:rPr>
          <w:rFonts w:ascii="Arial" w:hAnsi="Arial" w:cs="Arial"/>
          <w:b/>
          <w:bCs/>
          <w:sz w:val="19"/>
          <w:szCs w:val="19"/>
        </w:rPr>
      </w:pPr>
      <w:r w:rsidRPr="00857999">
        <w:rPr>
          <w:rFonts w:ascii="Arial" w:hAnsi="Arial" w:cs="Arial"/>
          <w:b/>
          <w:bCs/>
          <w:sz w:val="19"/>
          <w:szCs w:val="19"/>
        </w:rPr>
        <w:t>Results:</w:t>
      </w:r>
    </w:p>
    <w:p w14:paraId="635876FB" w14:textId="77777777" w:rsidR="00857999" w:rsidRPr="00857999" w:rsidRDefault="00857999" w:rsidP="00A450CF">
      <w:pPr>
        <w:pStyle w:val="Default"/>
        <w:rPr>
          <w:rFonts w:ascii="Arial" w:eastAsia="Times New Roman" w:hAnsi="Arial" w:cs="Arial"/>
          <w:sz w:val="19"/>
          <w:szCs w:val="19"/>
        </w:rPr>
      </w:pPr>
    </w:p>
    <w:p w14:paraId="5ED10145" w14:textId="5E2E21CB"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 xml:space="preserve">Figure 1 shows various time-series analysis results on weight, glucose, food, and exercise during these three periods.  Based on the author’s previous publications of adjusted A1C contributions by FPG and PPG along with the prediction models of glucose and A1C, Table 1 displays a step-by-step detailed calculation on how to derive the patient’s A1C variances.  </w:t>
      </w:r>
    </w:p>
    <w:p w14:paraId="132AACA1" w14:textId="77777777" w:rsidR="00A450CF" w:rsidRPr="00857999" w:rsidRDefault="00A450CF" w:rsidP="00A450CF">
      <w:pPr>
        <w:pStyle w:val="Default"/>
        <w:rPr>
          <w:rFonts w:ascii="Arial" w:eastAsia="Times New Roman" w:hAnsi="Arial" w:cs="Arial"/>
          <w:sz w:val="19"/>
          <w:szCs w:val="19"/>
        </w:rPr>
      </w:pPr>
    </w:p>
    <w:p w14:paraId="672D59ED"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 xml:space="preserve">As shown, his predicted A1C variances completely match the lab test results from the hospital. </w:t>
      </w:r>
    </w:p>
    <w:p w14:paraId="51DFD734" w14:textId="77777777" w:rsidR="00A450CF" w:rsidRPr="00857999" w:rsidRDefault="00A450CF" w:rsidP="00A450CF">
      <w:pPr>
        <w:pStyle w:val="Default"/>
        <w:rPr>
          <w:rFonts w:ascii="Arial" w:eastAsia="Times New Roman" w:hAnsi="Arial" w:cs="Arial"/>
          <w:sz w:val="19"/>
          <w:szCs w:val="19"/>
        </w:rPr>
      </w:pPr>
    </w:p>
    <w:p w14:paraId="73C36E64" w14:textId="53D95CF7" w:rsidR="00A450CF" w:rsidRPr="00857999" w:rsidRDefault="00A450CF" w:rsidP="00A450CF">
      <w:pPr>
        <w:pStyle w:val="Default"/>
        <w:rPr>
          <w:rFonts w:ascii="Arial" w:hAnsi="Arial" w:cs="Arial"/>
          <w:b/>
          <w:bCs/>
          <w:sz w:val="19"/>
          <w:szCs w:val="19"/>
          <w:lang w:val="fr-FR"/>
        </w:rPr>
      </w:pPr>
      <w:r w:rsidRPr="00857999">
        <w:rPr>
          <w:rFonts w:ascii="Arial" w:hAnsi="Arial" w:cs="Arial"/>
          <w:b/>
          <w:bCs/>
          <w:sz w:val="19"/>
          <w:szCs w:val="19"/>
          <w:lang w:val="fr-FR"/>
        </w:rPr>
        <w:t>Conclusion:</w:t>
      </w:r>
    </w:p>
    <w:p w14:paraId="54D04B24" w14:textId="77777777" w:rsidR="00857999" w:rsidRPr="00857999" w:rsidRDefault="00857999" w:rsidP="00A450CF">
      <w:pPr>
        <w:pStyle w:val="Default"/>
        <w:rPr>
          <w:rFonts w:ascii="Arial" w:eastAsia="Times New Roman" w:hAnsi="Arial" w:cs="Arial"/>
          <w:sz w:val="19"/>
          <w:szCs w:val="19"/>
        </w:rPr>
      </w:pPr>
    </w:p>
    <w:p w14:paraId="570B233A" w14:textId="77777777" w:rsidR="00A450CF" w:rsidRPr="00857999" w:rsidRDefault="00A450CF" w:rsidP="00A450CF">
      <w:pPr>
        <w:pStyle w:val="Default"/>
        <w:rPr>
          <w:rFonts w:ascii="Arial" w:eastAsia="Times New Roman" w:hAnsi="Arial" w:cs="Arial"/>
          <w:sz w:val="19"/>
          <w:szCs w:val="19"/>
        </w:rPr>
      </w:pPr>
      <w:r w:rsidRPr="00857999">
        <w:rPr>
          <w:rFonts w:ascii="Arial" w:hAnsi="Arial" w:cs="Arial"/>
          <w:sz w:val="19"/>
          <w:szCs w:val="19"/>
        </w:rPr>
        <w:t>The A1C case study focused on three periods of approximately 460 days, which contained about 1,380 meals and big data including exercise, weather, traveling, sickness, etc. This study demonstrates the degree of precision on predicting and interpreting the patient’</w:t>
      </w:r>
      <w:r w:rsidRPr="00857999">
        <w:rPr>
          <w:rFonts w:ascii="Arial" w:hAnsi="Arial" w:cs="Arial"/>
          <w:sz w:val="19"/>
          <w:szCs w:val="19"/>
          <w:lang w:val="it-IT"/>
        </w:rPr>
        <w:t xml:space="preserve">s A1C variances. </w:t>
      </w:r>
      <w:r w:rsidRPr="00857999">
        <w:rPr>
          <w:rFonts w:ascii="Arial" w:hAnsi="Arial" w:cs="Arial"/>
          <w:sz w:val="19"/>
          <w:szCs w:val="19"/>
        </w:rPr>
        <w:t> Once patients master the skill of understanding and predicting the forthcoming A1C lab test results, their overall T2D condition can then be under control.</w:t>
      </w:r>
    </w:p>
    <w:p w14:paraId="00E2B0F0" w14:textId="594D1728" w:rsidR="00AE3E37" w:rsidRDefault="00A9710C">
      <w:pPr>
        <w:pStyle w:val="Heading3"/>
        <w:spacing w:before="74"/>
      </w:pPr>
      <w:r>
        <w:rPr>
          <w:b w:val="0"/>
        </w:rPr>
        <w:br w:type="column"/>
      </w:r>
      <w:r>
        <w:rPr>
          <w:color w:val="BF5A14"/>
        </w:rPr>
        <w:t>Image</w:t>
      </w:r>
      <w:r w:rsidR="0001037D">
        <w:rPr>
          <w:color w:val="BF5A14"/>
        </w:rPr>
        <w:t>s</w:t>
      </w:r>
    </w:p>
    <w:p w14:paraId="13AA8AC8" w14:textId="305BE2AE" w:rsidR="00AE3E37" w:rsidRDefault="00A450CF">
      <w:pPr>
        <w:pStyle w:val="BodyText"/>
        <w:spacing w:before="2"/>
        <w:rPr>
          <w:rFonts w:ascii="Arial"/>
          <w:b/>
          <w:sz w:val="16"/>
        </w:rPr>
      </w:pPr>
      <w:r w:rsidRPr="00C82287">
        <w:rPr>
          <w:rFonts w:ascii="Arial" w:eastAsia="Times New Roman" w:hAnsi="Arial" w:cs="Arial"/>
          <w:noProof/>
          <w:sz w:val="24"/>
          <w:szCs w:val="24"/>
        </w:rPr>
        <w:drawing>
          <wp:anchor distT="152400" distB="152400" distL="152400" distR="152400" simplePos="0" relativeHeight="251659264" behindDoc="0" locked="0" layoutInCell="1" allowOverlap="1" wp14:anchorId="3B48E05F" wp14:editId="006CF68B">
            <wp:simplePos x="0" y="0"/>
            <wp:positionH relativeFrom="margin">
              <wp:posOffset>3425825</wp:posOffset>
            </wp:positionH>
            <wp:positionV relativeFrom="line">
              <wp:posOffset>62865</wp:posOffset>
            </wp:positionV>
            <wp:extent cx="3305175" cy="2200275"/>
            <wp:effectExtent l="0" t="0" r="9525" b="9525"/>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jpeg"/>
                    <pic:cNvPicPr>
                      <a:picLocks noChangeAspect="1"/>
                    </pic:cNvPicPr>
                  </pic:nvPicPr>
                  <pic:blipFill>
                    <a:blip r:embed="rId8">
                      <a:extLst/>
                    </a:blip>
                    <a:stretch>
                      <a:fillRect/>
                    </a:stretch>
                  </pic:blipFill>
                  <pic:spPr>
                    <a:xfrm>
                      <a:off x="0" y="0"/>
                      <a:ext cx="3305175" cy="22002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8D44F5B" w14:textId="1DA2EFE5" w:rsidR="00A450CF" w:rsidRDefault="00A450CF">
      <w:pPr>
        <w:pStyle w:val="BodyText"/>
        <w:spacing w:before="2"/>
        <w:rPr>
          <w:rFonts w:ascii="Arial"/>
          <w:b/>
          <w:sz w:val="16"/>
        </w:rPr>
      </w:pPr>
    </w:p>
    <w:p w14:paraId="03F5590A" w14:textId="77777777" w:rsidR="00A450CF" w:rsidRDefault="00A450CF">
      <w:pPr>
        <w:pStyle w:val="BodyText"/>
        <w:spacing w:before="2"/>
        <w:rPr>
          <w:rFonts w:ascii="Arial"/>
          <w:b/>
          <w:sz w:val="16"/>
        </w:rPr>
      </w:pPr>
    </w:p>
    <w:p w14:paraId="76657539" w14:textId="25CC7972" w:rsidR="00A450CF" w:rsidRDefault="00A450CF">
      <w:pPr>
        <w:pStyle w:val="BodyText"/>
        <w:spacing w:before="2"/>
        <w:rPr>
          <w:rFonts w:ascii="Arial"/>
          <w:b/>
          <w:sz w:val="16"/>
        </w:rPr>
      </w:pPr>
    </w:p>
    <w:p w14:paraId="2D4F0C6F" w14:textId="77777777" w:rsidR="00A450CF" w:rsidRDefault="00A450CF">
      <w:pPr>
        <w:pStyle w:val="BodyText"/>
        <w:spacing w:before="2"/>
        <w:rPr>
          <w:rFonts w:ascii="Arial"/>
          <w:b/>
          <w:sz w:val="16"/>
        </w:rPr>
      </w:pPr>
    </w:p>
    <w:p w14:paraId="4C9CDA8F" w14:textId="77777777" w:rsidR="00A450CF" w:rsidRDefault="00A450CF">
      <w:pPr>
        <w:pStyle w:val="BodyText"/>
        <w:spacing w:before="2"/>
        <w:rPr>
          <w:rFonts w:ascii="Arial"/>
          <w:b/>
          <w:sz w:val="16"/>
        </w:rPr>
      </w:pPr>
    </w:p>
    <w:p w14:paraId="387990CB" w14:textId="77777777" w:rsidR="00A450CF" w:rsidRDefault="00A450CF">
      <w:pPr>
        <w:pStyle w:val="BodyText"/>
        <w:spacing w:before="2"/>
        <w:rPr>
          <w:rFonts w:ascii="Arial"/>
          <w:b/>
          <w:sz w:val="16"/>
        </w:rPr>
      </w:pPr>
    </w:p>
    <w:p w14:paraId="2AB4845A" w14:textId="77777777" w:rsidR="00A450CF" w:rsidRDefault="00A450CF">
      <w:pPr>
        <w:pStyle w:val="BodyText"/>
        <w:spacing w:before="2"/>
        <w:rPr>
          <w:rFonts w:ascii="Arial"/>
          <w:b/>
          <w:sz w:val="16"/>
        </w:rPr>
      </w:pPr>
    </w:p>
    <w:p w14:paraId="6A464AE8" w14:textId="77777777" w:rsidR="00A450CF" w:rsidRDefault="00A450CF">
      <w:pPr>
        <w:pStyle w:val="BodyText"/>
        <w:spacing w:before="2"/>
        <w:rPr>
          <w:rFonts w:ascii="Arial"/>
          <w:b/>
          <w:sz w:val="16"/>
        </w:rPr>
      </w:pPr>
    </w:p>
    <w:p w14:paraId="25B49ACC" w14:textId="77777777" w:rsidR="00A450CF" w:rsidRDefault="00A450CF">
      <w:pPr>
        <w:pStyle w:val="BodyText"/>
        <w:spacing w:before="2"/>
        <w:rPr>
          <w:rFonts w:ascii="Arial"/>
          <w:b/>
          <w:sz w:val="16"/>
        </w:rPr>
      </w:pPr>
    </w:p>
    <w:p w14:paraId="1CA348E5" w14:textId="77777777" w:rsidR="00A450CF" w:rsidRDefault="00A450CF">
      <w:pPr>
        <w:pStyle w:val="BodyText"/>
        <w:spacing w:before="2"/>
        <w:rPr>
          <w:rFonts w:ascii="Arial"/>
          <w:b/>
          <w:sz w:val="16"/>
        </w:rPr>
      </w:pPr>
    </w:p>
    <w:p w14:paraId="3F30494A" w14:textId="77777777" w:rsidR="00A450CF" w:rsidRDefault="00A450CF">
      <w:pPr>
        <w:pStyle w:val="BodyText"/>
        <w:spacing w:before="2"/>
        <w:rPr>
          <w:rFonts w:ascii="Arial"/>
          <w:b/>
          <w:sz w:val="16"/>
        </w:rPr>
      </w:pPr>
    </w:p>
    <w:p w14:paraId="63EF1D29" w14:textId="77777777" w:rsidR="00A450CF" w:rsidRDefault="005973B9" w:rsidP="005973B9">
      <w:pPr>
        <w:spacing w:line="204" w:lineRule="exact"/>
        <w:rPr>
          <w:rFonts w:ascii="Arial"/>
          <w:b/>
          <w:color w:val="BF5A14"/>
          <w:sz w:val="20"/>
        </w:rPr>
      </w:pPr>
      <w:r>
        <w:rPr>
          <w:rFonts w:ascii="Arial"/>
          <w:b/>
          <w:color w:val="BF5A14"/>
          <w:sz w:val="20"/>
        </w:rPr>
        <w:br/>
      </w:r>
    </w:p>
    <w:p w14:paraId="651DC6A4" w14:textId="77777777" w:rsidR="00A450CF" w:rsidRDefault="00A450CF" w:rsidP="005973B9">
      <w:pPr>
        <w:spacing w:line="204" w:lineRule="exact"/>
        <w:rPr>
          <w:rFonts w:ascii="Arial"/>
          <w:b/>
          <w:color w:val="BF5A14"/>
          <w:sz w:val="20"/>
        </w:rPr>
      </w:pPr>
    </w:p>
    <w:p w14:paraId="425A5D84" w14:textId="77777777" w:rsidR="00A450CF" w:rsidRDefault="00A450CF" w:rsidP="005973B9">
      <w:pPr>
        <w:spacing w:line="204" w:lineRule="exact"/>
        <w:rPr>
          <w:rFonts w:ascii="Arial"/>
          <w:b/>
          <w:color w:val="BF5A14"/>
          <w:sz w:val="20"/>
        </w:rPr>
      </w:pPr>
    </w:p>
    <w:p w14:paraId="1FC265ED" w14:textId="77777777" w:rsidR="00A450CF" w:rsidRDefault="00A450CF" w:rsidP="005973B9">
      <w:pPr>
        <w:spacing w:line="204" w:lineRule="exact"/>
        <w:rPr>
          <w:rFonts w:ascii="Arial"/>
          <w:b/>
          <w:color w:val="BF5A14"/>
          <w:sz w:val="20"/>
        </w:rPr>
      </w:pPr>
    </w:p>
    <w:p w14:paraId="7FCCE7D2" w14:textId="77777777" w:rsidR="00A450CF" w:rsidRDefault="00A450CF" w:rsidP="005973B9">
      <w:pPr>
        <w:spacing w:line="204" w:lineRule="exact"/>
        <w:rPr>
          <w:rFonts w:ascii="Arial"/>
          <w:b/>
          <w:color w:val="BF5A14"/>
          <w:sz w:val="20"/>
        </w:rPr>
      </w:pPr>
    </w:p>
    <w:p w14:paraId="72E6625D" w14:textId="77777777" w:rsidR="00A450CF" w:rsidRPr="00857999" w:rsidRDefault="00A450CF" w:rsidP="005973B9">
      <w:pPr>
        <w:spacing w:line="204" w:lineRule="exact"/>
        <w:rPr>
          <w:rFonts w:ascii="Arial"/>
          <w:b/>
          <w:color w:val="BF5A14"/>
          <w:sz w:val="18"/>
          <w:szCs w:val="18"/>
        </w:rPr>
      </w:pPr>
    </w:p>
    <w:p w14:paraId="0265064B" w14:textId="77777777" w:rsidR="00A450CF" w:rsidRPr="00857999" w:rsidRDefault="00A450CF" w:rsidP="00A450CF">
      <w:pPr>
        <w:pStyle w:val="Default"/>
        <w:rPr>
          <w:rFonts w:ascii="Arial" w:eastAsia="Times New Roman" w:hAnsi="Arial" w:cs="Arial"/>
          <w:b/>
          <w:sz w:val="18"/>
          <w:szCs w:val="18"/>
        </w:rPr>
      </w:pPr>
      <w:r w:rsidRPr="00857999">
        <w:rPr>
          <w:rFonts w:ascii="Arial" w:hAnsi="Arial" w:cs="Arial"/>
          <w:b/>
          <w:sz w:val="18"/>
          <w:szCs w:val="18"/>
        </w:rPr>
        <w:t>Figure 1:  Three Periods of Weight, FPG, PPG, Daily Glucose, Carbs/Sugar Intake, Post-Meal Walking</w:t>
      </w:r>
    </w:p>
    <w:p w14:paraId="50A8FD42" w14:textId="7E06EA8B" w:rsidR="00A450CF" w:rsidRDefault="00A450CF" w:rsidP="005973B9">
      <w:pPr>
        <w:spacing w:line="204" w:lineRule="exact"/>
        <w:rPr>
          <w:rFonts w:ascii="Arial"/>
          <w:b/>
          <w:color w:val="BF5A14"/>
          <w:sz w:val="20"/>
        </w:rPr>
      </w:pPr>
    </w:p>
    <w:p w14:paraId="410F122A" w14:textId="77777777" w:rsidR="00A450CF" w:rsidRDefault="00A450CF" w:rsidP="005973B9">
      <w:pPr>
        <w:spacing w:line="204" w:lineRule="exact"/>
        <w:rPr>
          <w:rFonts w:ascii="Arial"/>
          <w:b/>
          <w:color w:val="BF5A14"/>
          <w:sz w:val="20"/>
        </w:rPr>
      </w:pPr>
    </w:p>
    <w:p w14:paraId="7FDFBEEB" w14:textId="77777777" w:rsidR="00857999" w:rsidRDefault="00857999" w:rsidP="00857999">
      <w:pPr>
        <w:spacing w:line="204" w:lineRule="exact"/>
        <w:rPr>
          <w:rFonts w:ascii="Arial" w:hAnsi="Arial" w:cs="Arial"/>
          <w:b/>
          <w:color w:val="BF5A14"/>
          <w:sz w:val="20"/>
          <w:szCs w:val="20"/>
        </w:rPr>
      </w:pPr>
      <w:r w:rsidRPr="00E356FB">
        <w:rPr>
          <w:rFonts w:ascii="Arial" w:hAnsi="Arial" w:cs="Arial"/>
          <w:b/>
          <w:color w:val="BF5A14"/>
          <w:sz w:val="20"/>
          <w:szCs w:val="20"/>
        </w:rPr>
        <w:t>Recent Publications (minimum 5)</w:t>
      </w:r>
    </w:p>
    <w:p w14:paraId="45AC4477" w14:textId="77777777" w:rsidR="00857999" w:rsidRPr="00E356FB" w:rsidRDefault="00857999" w:rsidP="00857999">
      <w:pPr>
        <w:spacing w:line="204" w:lineRule="exact"/>
        <w:rPr>
          <w:rFonts w:ascii="Arial" w:hAnsi="Arial" w:cs="Arial"/>
          <w:b/>
          <w:color w:val="BF5A14"/>
          <w:sz w:val="20"/>
          <w:szCs w:val="20"/>
        </w:rPr>
      </w:pPr>
    </w:p>
    <w:p w14:paraId="7CCB763F" w14:textId="77777777" w:rsidR="00857999" w:rsidRPr="003A1DB6" w:rsidRDefault="00857999" w:rsidP="00857999">
      <w:pPr>
        <w:pStyle w:val="Default"/>
        <w:rPr>
          <w:rStyle w:val="Hyperlink"/>
          <w:rFonts w:ascii="Arial" w:hAnsi="Arial" w:cs="Arial"/>
          <w:i/>
          <w:iCs/>
          <w:sz w:val="18"/>
          <w:szCs w:val="18"/>
          <w:shd w:val="clear" w:color="auto" w:fill="FEFFFE"/>
        </w:rPr>
      </w:pPr>
      <w:r w:rsidRPr="0031299C">
        <w:rPr>
          <w:rFonts w:ascii="Arial" w:hAnsi="Arial" w:cs="Arial"/>
          <w:sz w:val="18"/>
          <w:szCs w:val="18"/>
          <w:shd w:val="clear" w:color="auto" w:fill="FEFFFE"/>
        </w:rPr>
        <w:t xml:space="preserve">1.  Hsu, Gerald C. (2018). Using Math-Physical Medicine to Control T2D via Metabolism Monitoring and Glucose Predictions. </w:t>
      </w:r>
      <w:r w:rsidRPr="0031299C">
        <w:rPr>
          <w:rFonts w:ascii="Arial" w:hAnsi="Arial" w:cs="Arial"/>
          <w:i/>
          <w:iCs/>
          <w:sz w:val="18"/>
          <w:szCs w:val="18"/>
          <w:shd w:val="clear" w:color="auto" w:fill="FEFFFE"/>
        </w:rPr>
        <w:t xml:space="preserve">Journal of Endocrinology and Diabetes, </w:t>
      </w:r>
      <w:r w:rsidRPr="0031299C">
        <w:rPr>
          <w:rFonts w:ascii="Arial" w:hAnsi="Arial" w:cs="Arial"/>
          <w:i/>
          <w:sz w:val="18"/>
          <w:szCs w:val="18"/>
          <w:shd w:val="clear" w:color="auto" w:fill="FEFFFE"/>
        </w:rPr>
        <w:t>1</w:t>
      </w:r>
      <w:r w:rsidRPr="0031299C">
        <w:rPr>
          <w:rFonts w:ascii="Arial" w:hAnsi="Arial" w:cs="Arial"/>
          <w:sz w:val="18"/>
          <w:szCs w:val="18"/>
          <w:shd w:val="clear" w:color="auto" w:fill="FEFFFE"/>
        </w:rPr>
        <w:t>(1), 1-6. Retrieved from</w:t>
      </w:r>
      <w:r w:rsidRPr="0031299C">
        <w:rPr>
          <w:rFonts w:ascii="Arial" w:hAnsi="Arial" w:cs="Arial"/>
          <w:i/>
          <w:iCs/>
          <w:sz w:val="18"/>
          <w:szCs w:val="18"/>
          <w:shd w:val="clear" w:color="auto" w:fill="FEFFFE"/>
        </w:rPr>
        <w:t xml:space="preserve"> </w:t>
      </w:r>
      <w:r>
        <w:rPr>
          <w:rStyle w:val="Hyperlink0"/>
          <w:rFonts w:ascii="Arial" w:hAnsi="Arial" w:cs="Arial"/>
          <w:color w:val="000000" w:themeColor="text1"/>
          <w:sz w:val="18"/>
          <w:szCs w:val="18"/>
          <w:shd w:val="clear" w:color="auto" w:fill="FEFFFE"/>
        </w:rPr>
        <w:fldChar w:fldCharType="begin"/>
      </w:r>
      <w:r>
        <w:rPr>
          <w:rStyle w:val="Hyperlink0"/>
          <w:rFonts w:ascii="Arial" w:hAnsi="Arial" w:cs="Arial"/>
          <w:color w:val="000000" w:themeColor="text1"/>
          <w:sz w:val="18"/>
          <w:szCs w:val="18"/>
          <w:shd w:val="clear" w:color="auto" w:fill="FEFFFE"/>
        </w:rPr>
        <w:instrText xml:space="preserve"> HYPERLINK "http://www.kosmospublishers.com/wp-content/uploads/%25202018/06/" </w:instrText>
      </w:r>
      <w:r>
        <w:rPr>
          <w:rStyle w:val="Hyperlink0"/>
          <w:rFonts w:ascii="Arial" w:hAnsi="Arial" w:cs="Arial"/>
          <w:color w:val="000000" w:themeColor="text1"/>
          <w:sz w:val="18"/>
          <w:szCs w:val="18"/>
          <w:shd w:val="clear" w:color="auto" w:fill="FEFFFE"/>
        </w:rPr>
        <w:fldChar w:fldCharType="separate"/>
      </w:r>
      <w:r w:rsidRPr="003A1DB6">
        <w:rPr>
          <w:rStyle w:val="Hyperlink"/>
          <w:rFonts w:ascii="Arial" w:hAnsi="Arial" w:cs="Arial"/>
          <w:sz w:val="18"/>
          <w:szCs w:val="18"/>
          <w:shd w:val="clear" w:color="auto" w:fill="FEFFFE"/>
        </w:rPr>
        <w:t>http://www.kosmospublishers.com/wp-content/uploads/ 2018/06/</w:t>
      </w:r>
      <w:r w:rsidRPr="003A1DB6">
        <w:rPr>
          <w:rStyle w:val="Hyperlink"/>
          <w:rFonts w:ascii="Arial" w:hAnsi="Arial" w:cs="Arial"/>
          <w:i/>
          <w:iCs/>
          <w:sz w:val="18"/>
          <w:szCs w:val="18"/>
          <w:shd w:val="clear" w:color="auto" w:fill="FEFFFE"/>
        </w:rPr>
        <w:t>JEAD-101-1.pdf</w:t>
      </w:r>
    </w:p>
    <w:p w14:paraId="24845A1B" w14:textId="77777777" w:rsidR="00857999" w:rsidRPr="003A1DB6" w:rsidRDefault="00857999" w:rsidP="00857999">
      <w:pPr>
        <w:pStyle w:val="Default"/>
        <w:rPr>
          <w:rStyle w:val="Hyperlink"/>
          <w:rFonts w:ascii="Arial" w:eastAsia="Arial" w:hAnsi="Arial" w:cs="Arial"/>
          <w:sz w:val="18"/>
          <w:szCs w:val="18"/>
          <w:shd w:val="clear" w:color="auto" w:fill="FEFFFE"/>
        </w:rPr>
      </w:pPr>
    </w:p>
    <w:p w14:paraId="0481842C" w14:textId="77777777" w:rsidR="00857999" w:rsidRPr="0031299C" w:rsidRDefault="00857999" w:rsidP="00857999">
      <w:pPr>
        <w:pStyle w:val="Default"/>
        <w:rPr>
          <w:rFonts w:ascii="Arial" w:hAnsi="Arial" w:cs="Arial"/>
          <w:color w:val="000000" w:themeColor="text1"/>
          <w:sz w:val="18"/>
          <w:szCs w:val="18"/>
        </w:rPr>
      </w:pPr>
      <w:r>
        <w:rPr>
          <w:rStyle w:val="Hyperlink0"/>
          <w:rFonts w:ascii="Arial" w:hAnsi="Arial" w:cs="Arial"/>
          <w:color w:val="000000" w:themeColor="text1"/>
          <w:sz w:val="18"/>
          <w:szCs w:val="18"/>
          <w:shd w:val="clear" w:color="auto" w:fill="FEFFFE"/>
        </w:rPr>
        <w:fldChar w:fldCharType="end"/>
      </w:r>
      <w:r>
        <w:rPr>
          <w:rFonts w:ascii="Arial" w:hAnsi="Arial" w:cs="Arial"/>
          <w:color w:val="000000" w:themeColor="text1"/>
          <w:sz w:val="18"/>
          <w:szCs w:val="18"/>
        </w:rPr>
        <w:t>2</w:t>
      </w:r>
      <w:r w:rsidRPr="0031299C">
        <w:rPr>
          <w:rFonts w:ascii="Arial" w:hAnsi="Arial" w:cs="Arial"/>
          <w:color w:val="000000" w:themeColor="text1"/>
          <w:sz w:val="18"/>
          <w:szCs w:val="18"/>
        </w:rPr>
        <w:t xml:space="preserve">.  Hsu, Gerald C. (2018). Using Signal Processing Techniques to Predict PPG for T2D. </w:t>
      </w:r>
      <w:r w:rsidRPr="0031299C">
        <w:rPr>
          <w:rFonts w:ascii="Arial" w:hAnsi="Arial" w:cs="Arial"/>
          <w:i/>
          <w:color w:val="000000" w:themeColor="text1"/>
          <w:sz w:val="18"/>
          <w:szCs w:val="18"/>
        </w:rPr>
        <w:t>International Journal of Diabetes &amp; Metabolic Disorders, 3</w:t>
      </w:r>
      <w:r w:rsidRPr="0031299C">
        <w:rPr>
          <w:rFonts w:ascii="Arial" w:hAnsi="Arial" w:cs="Arial"/>
          <w:color w:val="000000" w:themeColor="text1"/>
          <w:sz w:val="18"/>
          <w:szCs w:val="18"/>
        </w:rPr>
        <w:t xml:space="preserve">(2),1-3. Retrieved from </w:t>
      </w:r>
      <w:hyperlink r:id="rId9" w:history="1">
        <w:r w:rsidRPr="0031299C">
          <w:rPr>
            <w:rStyle w:val="Hyperlink"/>
            <w:rFonts w:ascii="Arial" w:hAnsi="Arial" w:cs="Arial"/>
            <w:sz w:val="18"/>
            <w:szCs w:val="18"/>
          </w:rPr>
          <w:t>https://www.opastonline.com/wp-content/uploads/2018/06/using-signal-processing-techniques-to-predict-ppg-for-t2d-ijdmd-18.pdf</w:t>
        </w:r>
      </w:hyperlink>
    </w:p>
    <w:p w14:paraId="77B82E99" w14:textId="77777777" w:rsidR="00857999" w:rsidRPr="0031299C" w:rsidRDefault="00857999" w:rsidP="00857999">
      <w:pPr>
        <w:pStyle w:val="Default"/>
        <w:rPr>
          <w:rFonts w:ascii="Arial" w:hAnsi="Arial" w:cs="Arial"/>
          <w:color w:val="000000" w:themeColor="text1"/>
          <w:sz w:val="18"/>
          <w:szCs w:val="18"/>
        </w:rPr>
      </w:pPr>
    </w:p>
    <w:p w14:paraId="6FE0A0A2" w14:textId="77777777" w:rsidR="00857999" w:rsidRDefault="00857999" w:rsidP="00857999">
      <w:pPr>
        <w:pStyle w:val="Default"/>
        <w:rPr>
          <w:rStyle w:val="Hyperlink"/>
          <w:rFonts w:ascii="Arial" w:hAnsi="Arial" w:cs="Arial"/>
          <w:sz w:val="18"/>
          <w:szCs w:val="18"/>
          <w:shd w:val="clear" w:color="auto" w:fill="FEFFFE"/>
        </w:rPr>
      </w:pPr>
      <w:r>
        <w:rPr>
          <w:rFonts w:ascii="Arial" w:hAnsi="Arial" w:cs="Arial"/>
          <w:sz w:val="18"/>
          <w:szCs w:val="18"/>
          <w:shd w:val="clear" w:color="auto" w:fill="FEFFFE"/>
        </w:rPr>
        <w:t>3</w:t>
      </w:r>
      <w:r w:rsidRPr="0031299C">
        <w:rPr>
          <w:rFonts w:ascii="Arial" w:hAnsi="Arial" w:cs="Arial"/>
          <w:sz w:val="18"/>
          <w:szCs w:val="18"/>
          <w:shd w:val="clear" w:color="auto" w:fill="FEFFFE"/>
        </w:rPr>
        <w:t xml:space="preserve">.  </w:t>
      </w:r>
      <w:r w:rsidRPr="0031299C">
        <w:rPr>
          <w:rFonts w:ascii="Arial" w:hAnsi="Arial" w:cs="Arial"/>
          <w:color w:val="000000" w:themeColor="text1"/>
          <w:sz w:val="18"/>
          <w:szCs w:val="18"/>
        </w:rPr>
        <w:t xml:space="preserve">Hsu, Gerald C. (2018). Using Math-Physical Medicine and Artificial Intelligence Technology to Manage Lifestyle and Control Metabolic Conditions of T2D. </w:t>
      </w:r>
      <w:r w:rsidRPr="0031299C">
        <w:rPr>
          <w:rFonts w:ascii="Arial" w:hAnsi="Arial" w:cs="Arial"/>
          <w:i/>
          <w:color w:val="000000" w:themeColor="text1"/>
          <w:sz w:val="18"/>
          <w:szCs w:val="18"/>
        </w:rPr>
        <w:t>International Journal of Diabetes &amp; Its Complications, 2</w:t>
      </w:r>
      <w:r w:rsidRPr="0031299C">
        <w:rPr>
          <w:rFonts w:ascii="Arial" w:hAnsi="Arial" w:cs="Arial"/>
          <w:color w:val="000000" w:themeColor="text1"/>
          <w:sz w:val="18"/>
          <w:szCs w:val="18"/>
        </w:rPr>
        <w:t xml:space="preserve">(3),1-7. Retrieved from </w:t>
      </w:r>
      <w:hyperlink r:id="rId10" w:history="1">
        <w:r w:rsidRPr="0031299C">
          <w:rPr>
            <w:rStyle w:val="Hyperlink"/>
            <w:rFonts w:ascii="Arial" w:hAnsi="Arial" w:cs="Arial"/>
            <w:sz w:val="18"/>
            <w:szCs w:val="18"/>
            <w:shd w:val="clear" w:color="auto" w:fill="FEFFFE"/>
          </w:rPr>
          <w:t>http://cmepub.com/pdfs/using-mathphysical-medicine-and-artificial-intelligence-technology-to-manage-lifestyle-and-control-metabolic-conditions-of-t2d-412.pdf</w:t>
        </w:r>
      </w:hyperlink>
    </w:p>
    <w:p w14:paraId="177F6D33" w14:textId="77777777" w:rsidR="00857999" w:rsidRDefault="00857999" w:rsidP="00857999">
      <w:pPr>
        <w:pStyle w:val="Default"/>
        <w:rPr>
          <w:rFonts w:ascii="Arial" w:hAnsi="Arial" w:cs="Arial"/>
          <w:sz w:val="18"/>
          <w:szCs w:val="18"/>
          <w:shd w:val="clear" w:color="auto" w:fill="FEFFFE"/>
        </w:rPr>
      </w:pPr>
    </w:p>
    <w:p w14:paraId="0E8D0B3B" w14:textId="77777777" w:rsidR="00857999" w:rsidRDefault="00857999" w:rsidP="00857999">
      <w:pPr>
        <w:rPr>
          <w:rFonts w:ascii="Arial" w:eastAsia="Times New Roman" w:hAnsi="Arial" w:cs="Arial"/>
          <w:color w:val="000000"/>
          <w:sz w:val="18"/>
          <w:szCs w:val="18"/>
        </w:rPr>
      </w:pPr>
      <w:r>
        <w:rPr>
          <w:rFonts w:ascii="Arial" w:hAnsi="Arial" w:cs="Arial"/>
          <w:sz w:val="18"/>
          <w:szCs w:val="18"/>
          <w:shd w:val="clear" w:color="auto" w:fill="FEFFFE"/>
        </w:rPr>
        <w:t>4.  Hsu, Gerald C. (2</w:t>
      </w:r>
      <w:r w:rsidRPr="0031299C">
        <w:rPr>
          <w:rFonts w:ascii="Arial" w:hAnsi="Arial" w:cs="Arial"/>
          <w:sz w:val="18"/>
          <w:szCs w:val="18"/>
          <w:shd w:val="clear" w:color="auto" w:fill="FEFFFE"/>
        </w:rPr>
        <w:t xml:space="preserve">018). </w:t>
      </w:r>
      <w:hyperlink r:id="rId11" w:tgtFrame="_blank" w:history="1">
        <w:r w:rsidRPr="0031299C">
          <w:rPr>
            <w:rStyle w:val="Hyperlink"/>
            <w:rFonts w:ascii="Arial" w:hAnsi="Arial" w:cs="Arial"/>
            <w:color w:val="auto"/>
            <w:sz w:val="18"/>
            <w:szCs w:val="18"/>
            <w:u w:val="none"/>
          </w:rPr>
          <w:t>A Clinic Case of Using Math-Physical Medicine to Study the Probability of Having a Heart Attack or Stroke Based on Combination of Metabolic Conditions, Lifestyle, and Metabolism Index</w:t>
        </w:r>
      </w:hyperlink>
      <w:r>
        <w:rPr>
          <w:rFonts w:ascii="Arial" w:hAnsi="Arial" w:cs="Arial"/>
          <w:sz w:val="18"/>
          <w:szCs w:val="18"/>
        </w:rPr>
        <w:t xml:space="preserve">. </w:t>
      </w:r>
      <w:r w:rsidRPr="0031299C">
        <w:rPr>
          <w:rFonts w:ascii="Arial" w:eastAsia="Times New Roman" w:hAnsi="Arial" w:cs="Arial"/>
          <w:i/>
          <w:color w:val="000000"/>
          <w:sz w:val="18"/>
          <w:szCs w:val="18"/>
        </w:rPr>
        <w:t>Journal of Clinical Review &amp; Case Reports</w:t>
      </w:r>
      <w:r>
        <w:rPr>
          <w:rFonts w:ascii="Arial" w:eastAsia="Times New Roman" w:hAnsi="Arial" w:cs="Arial"/>
          <w:i/>
          <w:color w:val="000000"/>
          <w:sz w:val="18"/>
          <w:szCs w:val="18"/>
        </w:rPr>
        <w:t>, 3</w:t>
      </w:r>
      <w:r>
        <w:rPr>
          <w:rFonts w:ascii="Arial" w:eastAsia="Times New Roman" w:hAnsi="Arial" w:cs="Arial"/>
          <w:color w:val="000000"/>
          <w:sz w:val="18"/>
          <w:szCs w:val="18"/>
        </w:rPr>
        <w:t xml:space="preserve">(5), 1-2. Retrieved from </w:t>
      </w:r>
      <w:hyperlink r:id="rId12" w:history="1">
        <w:r w:rsidRPr="003A1DB6">
          <w:rPr>
            <w:rStyle w:val="Hyperlink"/>
            <w:rFonts w:ascii="Arial" w:eastAsia="Times New Roman" w:hAnsi="Arial" w:cs="Arial"/>
            <w:sz w:val="18"/>
            <w:szCs w:val="18"/>
          </w:rPr>
          <w:t>https://www.opastonline.com/wp-content/uploads/2018/07/a-clinic-case-of-using-math-physical-medicine-to-study-the-probability-of-having-a-heart-attack-or-stroke-based-on-combination-of-metabolic-conditions-lifestyle-and-metabolism-index-jcrc-2018.pdf</w:t>
        </w:r>
      </w:hyperlink>
    </w:p>
    <w:p w14:paraId="53F497C5" w14:textId="77777777" w:rsidR="00857999" w:rsidRPr="00043431" w:rsidRDefault="00857999" w:rsidP="00857999">
      <w:pPr>
        <w:spacing w:line="200" w:lineRule="exact"/>
        <w:jc w:val="both"/>
        <w:rPr>
          <w:rFonts w:ascii="Arial" w:hAnsi="Arial" w:cs="Arial"/>
          <w:sz w:val="18"/>
          <w:szCs w:val="18"/>
        </w:rPr>
      </w:pPr>
    </w:p>
    <w:p w14:paraId="696F4964" w14:textId="77777777" w:rsidR="00857999" w:rsidRPr="00043431" w:rsidRDefault="00857999" w:rsidP="00857999">
      <w:pPr>
        <w:spacing w:line="80" w:lineRule="exact"/>
        <w:jc w:val="both"/>
        <w:rPr>
          <w:rFonts w:ascii="Arial" w:hAnsi="Arial" w:cs="Arial"/>
          <w:sz w:val="18"/>
          <w:szCs w:val="18"/>
        </w:rPr>
      </w:pPr>
    </w:p>
    <w:p w14:paraId="6D5F5F96" w14:textId="1BB4EDCD" w:rsidR="00857999" w:rsidRDefault="00857999" w:rsidP="00857999">
      <w:pPr>
        <w:spacing w:line="200" w:lineRule="exact"/>
        <w:jc w:val="both"/>
        <w:rPr>
          <w:rFonts w:ascii="Arial" w:hAnsi="Arial" w:cs="Arial"/>
          <w:color w:val="000000" w:themeColor="text1"/>
          <w:sz w:val="18"/>
          <w:szCs w:val="18"/>
        </w:rPr>
      </w:pPr>
      <w:r w:rsidRPr="00043431">
        <w:rPr>
          <w:rFonts w:ascii="Arial" w:hAnsi="Arial" w:cs="Arial"/>
          <w:sz w:val="18"/>
          <w:szCs w:val="18"/>
        </w:rPr>
        <w:t>5.</w:t>
      </w:r>
      <w:r>
        <w:rPr>
          <w:rFonts w:ascii="Arial" w:hAnsi="Arial" w:cs="Arial"/>
          <w:sz w:val="18"/>
          <w:szCs w:val="18"/>
        </w:rPr>
        <w:t xml:space="preserve">  </w:t>
      </w:r>
      <w:r w:rsidRPr="0031299C">
        <w:rPr>
          <w:rFonts w:ascii="Arial" w:hAnsi="Arial" w:cs="Arial"/>
          <w:color w:val="000000" w:themeColor="text1"/>
          <w:sz w:val="18"/>
          <w:szCs w:val="18"/>
        </w:rPr>
        <w:t xml:space="preserve">Hsu, Gerald C. (2018). </w:t>
      </w:r>
      <w:r w:rsidRPr="00043431">
        <w:rPr>
          <w:rFonts w:ascii="Arial" w:hAnsi="Arial" w:cs="Arial"/>
          <w:color w:val="000000" w:themeColor="text1"/>
          <w:sz w:val="18"/>
          <w:szCs w:val="18"/>
        </w:rPr>
        <w:t xml:space="preserve">From Weight Management via Diabetes Control to Cardiovascular Risk Reduction </w:t>
      </w:r>
      <w:r w:rsidRPr="00043431">
        <w:rPr>
          <w:rFonts w:ascii="Arial" w:hAnsi="Arial" w:cs="Arial"/>
          <w:i/>
          <w:color w:val="000000" w:themeColor="text1"/>
          <w:sz w:val="18"/>
          <w:szCs w:val="18"/>
        </w:rPr>
        <w:t>Advances in Obesity, Weight Management &amp; Control</w:t>
      </w:r>
      <w:r w:rsidRPr="0031299C">
        <w:rPr>
          <w:rFonts w:ascii="Arial" w:hAnsi="Arial" w:cs="Arial"/>
          <w:i/>
          <w:color w:val="000000" w:themeColor="text1"/>
          <w:sz w:val="18"/>
          <w:szCs w:val="18"/>
        </w:rPr>
        <w:t xml:space="preserve">, </w:t>
      </w:r>
      <w:r>
        <w:rPr>
          <w:rFonts w:ascii="Arial" w:hAnsi="Arial" w:cs="Arial"/>
          <w:i/>
          <w:color w:val="000000" w:themeColor="text1"/>
          <w:sz w:val="18"/>
          <w:szCs w:val="18"/>
        </w:rPr>
        <w:t>8</w:t>
      </w:r>
      <w:r w:rsidRPr="0031299C">
        <w:rPr>
          <w:rFonts w:ascii="Arial" w:hAnsi="Arial" w:cs="Arial"/>
          <w:color w:val="000000" w:themeColor="text1"/>
          <w:sz w:val="18"/>
          <w:szCs w:val="18"/>
        </w:rPr>
        <w:t>(</w:t>
      </w:r>
      <w:r>
        <w:rPr>
          <w:rFonts w:ascii="Arial" w:hAnsi="Arial" w:cs="Arial"/>
          <w:color w:val="000000" w:themeColor="text1"/>
          <w:sz w:val="18"/>
          <w:szCs w:val="18"/>
        </w:rPr>
        <w:t>4</w:t>
      </w:r>
      <w:r w:rsidRPr="0031299C">
        <w:rPr>
          <w:rFonts w:ascii="Arial" w:hAnsi="Arial" w:cs="Arial"/>
          <w:color w:val="000000" w:themeColor="text1"/>
          <w:sz w:val="18"/>
          <w:szCs w:val="18"/>
        </w:rPr>
        <w:t>),1-</w:t>
      </w:r>
      <w:r>
        <w:rPr>
          <w:rFonts w:ascii="Arial" w:hAnsi="Arial" w:cs="Arial"/>
          <w:color w:val="000000" w:themeColor="text1"/>
          <w:sz w:val="18"/>
          <w:szCs w:val="18"/>
        </w:rPr>
        <w:t>4</w:t>
      </w:r>
      <w:r w:rsidRPr="0031299C">
        <w:rPr>
          <w:rFonts w:ascii="Arial" w:hAnsi="Arial" w:cs="Arial"/>
          <w:color w:val="000000" w:themeColor="text1"/>
          <w:sz w:val="18"/>
          <w:szCs w:val="18"/>
        </w:rPr>
        <w:t>. Retrieved from</w:t>
      </w:r>
      <w:r>
        <w:rPr>
          <w:rFonts w:ascii="Arial" w:hAnsi="Arial" w:cs="Arial"/>
          <w:color w:val="000000" w:themeColor="text1"/>
          <w:sz w:val="18"/>
          <w:szCs w:val="18"/>
        </w:rPr>
        <w:t xml:space="preserve"> </w:t>
      </w:r>
      <w:hyperlink r:id="rId13" w:history="1">
        <w:r w:rsidRPr="00043431">
          <w:rPr>
            <w:rStyle w:val="Hyperlink"/>
            <w:rFonts w:ascii="Arial" w:hAnsi="Arial" w:cs="Arial"/>
            <w:sz w:val="18"/>
            <w:szCs w:val="18"/>
          </w:rPr>
          <w:t>http://medcraveonline.com/AOWMC/AOWMC-08-00249.pdf</w:t>
        </w:r>
      </w:hyperlink>
    </w:p>
    <w:p w14:paraId="071396A3" w14:textId="77777777" w:rsidR="00857999" w:rsidRDefault="00857999" w:rsidP="00857999">
      <w:pPr>
        <w:spacing w:line="200" w:lineRule="exact"/>
        <w:jc w:val="both"/>
        <w:rPr>
          <w:rFonts w:ascii="Arial" w:hAnsi="Arial" w:cs="Arial"/>
          <w:color w:val="000000" w:themeColor="text1"/>
          <w:sz w:val="18"/>
          <w:szCs w:val="18"/>
        </w:rPr>
      </w:pPr>
    </w:p>
    <w:p w14:paraId="14867A2C" w14:textId="4116F656" w:rsidR="00AE3E37" w:rsidRDefault="00AE3E37">
      <w:pPr>
        <w:spacing w:line="200" w:lineRule="exact"/>
        <w:jc w:val="both"/>
        <w:rPr>
          <w:rFonts w:ascii="Calibri" w:hAnsi="Calibri"/>
        </w:rPr>
      </w:pPr>
    </w:p>
    <w:p w14:paraId="2C627167" w14:textId="77777777" w:rsidR="0001037D" w:rsidRDefault="0001037D">
      <w:pPr>
        <w:spacing w:line="200" w:lineRule="exact"/>
        <w:jc w:val="both"/>
        <w:rPr>
          <w:rFonts w:ascii="Calibri" w:hAnsi="Calibri"/>
        </w:rPr>
      </w:pPr>
    </w:p>
    <w:p w14:paraId="7A605D27" w14:textId="77777777" w:rsidR="0001037D" w:rsidRDefault="0001037D">
      <w:pPr>
        <w:spacing w:line="200" w:lineRule="exact"/>
        <w:jc w:val="both"/>
        <w:rPr>
          <w:rFonts w:ascii="Calibri" w:hAnsi="Calibri"/>
        </w:rPr>
      </w:pPr>
    </w:p>
    <w:p w14:paraId="5DE29A7A" w14:textId="77777777" w:rsidR="0001037D" w:rsidRDefault="0001037D">
      <w:pPr>
        <w:spacing w:line="200" w:lineRule="exact"/>
        <w:jc w:val="both"/>
        <w:rPr>
          <w:rFonts w:ascii="Calibri" w:hAnsi="Calibri"/>
        </w:rPr>
        <w:sectPr w:rsidR="0001037D" w:rsidSect="00EA7394">
          <w:type w:val="continuous"/>
          <w:pgSz w:w="11910" w:h="16840"/>
          <w:pgMar w:top="1389" w:right="600" w:bottom="840" w:left="620" w:header="720" w:footer="720" w:gutter="0"/>
          <w:cols w:num="2" w:space="720" w:equalWidth="0">
            <w:col w:w="5214" w:space="138"/>
            <w:col w:w="5338"/>
          </w:cols>
        </w:sectPr>
      </w:pPr>
    </w:p>
    <w:p w14:paraId="132B9257" w14:textId="77777777"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14:anchorId="659F7F1C" wp14:editId="32DC4EE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2764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25A82A2" w14:textId="77777777" w:rsidR="00A450CF" w:rsidRDefault="00A450CF" w:rsidP="00A450CF">
      <w:pPr>
        <w:spacing w:before="92"/>
        <w:ind w:right="4234"/>
        <w:rPr>
          <w:rFonts w:ascii="Arial"/>
          <w:color w:val="BF5A14"/>
        </w:rPr>
      </w:pPr>
      <w:r>
        <w:rPr>
          <w:noProof/>
        </w:rPr>
        <w:t xml:space="preserve">              </w:t>
      </w:r>
      <w:r>
        <w:rPr>
          <w:noProof/>
        </w:rPr>
        <w:drawing>
          <wp:inline distT="0" distB="0" distL="0" distR="0" wp14:anchorId="2B8FB236" wp14:editId="42B49A68">
            <wp:extent cx="470193" cy="627170"/>
            <wp:effectExtent l="0" t="0" r="635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8508" cy="638262"/>
                    </a:xfrm>
                    <a:prstGeom prst="rect">
                      <a:avLst/>
                    </a:prstGeom>
                    <a:noFill/>
                  </pic:spPr>
                </pic:pic>
              </a:graphicData>
            </a:graphic>
          </wp:inline>
        </w:drawing>
      </w:r>
      <w:r>
        <w:rPr>
          <w:noProof/>
        </w:rPr>
        <w:t xml:space="preserve">  </w:t>
      </w:r>
      <w:r>
        <w:rPr>
          <w:noProof/>
          <w:lang w:val="en-IN" w:eastAsia="en-IN"/>
        </w:rPr>
        <w:t xml:space="preserve"> </w:t>
      </w:r>
      <w:r>
        <w:rPr>
          <w:rFonts w:ascii="Arial"/>
          <w:color w:val="BF5A14"/>
        </w:rPr>
        <w:t>Biography (150 word limit)</w:t>
      </w:r>
    </w:p>
    <w:p w14:paraId="15526961" w14:textId="77777777" w:rsidR="00A450CF" w:rsidRDefault="00A450CF" w:rsidP="00A450CF">
      <w:pPr>
        <w:pStyle w:val="Default"/>
        <w:rPr>
          <w:rFonts w:ascii="Times New Roman" w:hAnsi="Times New Roman"/>
          <w:sz w:val="14"/>
          <w:szCs w:val="14"/>
        </w:rPr>
      </w:pPr>
      <w:r>
        <w:rPr>
          <w:rFonts w:ascii="Arial" w:hAnsi="Arial" w:cs="Arial"/>
          <w:sz w:val="14"/>
          <w:szCs w:val="14"/>
        </w:rPr>
        <w:t xml:space="preserve">Gerald C. Hsu </w:t>
      </w:r>
      <w:r w:rsidRPr="00DE3714">
        <w:rPr>
          <w:rFonts w:ascii="Arial" w:hAnsi="Arial" w:cs="Arial"/>
          <w:sz w:val="14"/>
          <w:szCs w:val="14"/>
        </w:rPr>
        <w:t xml:space="preserve">received an honorable PhD in mathematics and majored in engineering at MIT. </w:t>
      </w:r>
      <w:r>
        <w:rPr>
          <w:rFonts w:ascii="Arial" w:hAnsi="Arial" w:cs="Arial"/>
          <w:sz w:val="14"/>
          <w:szCs w:val="14"/>
        </w:rPr>
        <w:t xml:space="preserve"> </w:t>
      </w:r>
      <w:r w:rsidRPr="00DE3714">
        <w:rPr>
          <w:rFonts w:ascii="Arial" w:hAnsi="Arial" w:cs="Arial"/>
          <w:sz w:val="14"/>
          <w:szCs w:val="14"/>
        </w:rPr>
        <w:t>He attended different universi</w:t>
      </w:r>
      <w:r>
        <w:rPr>
          <w:rFonts w:ascii="Arial" w:hAnsi="Arial" w:cs="Arial"/>
          <w:sz w:val="14"/>
          <w:szCs w:val="14"/>
        </w:rPr>
        <w:t>ties over 17 years and studied seven</w:t>
      </w:r>
      <w:r w:rsidRPr="00DE3714">
        <w:rPr>
          <w:rFonts w:ascii="Arial" w:hAnsi="Arial" w:cs="Arial"/>
          <w:sz w:val="14"/>
          <w:szCs w:val="14"/>
        </w:rPr>
        <w:t xml:space="preserve"> </w:t>
      </w:r>
      <w:r>
        <w:rPr>
          <w:rFonts w:ascii="Arial" w:hAnsi="Arial" w:cs="Arial"/>
          <w:sz w:val="14"/>
          <w:szCs w:val="14"/>
          <w:lang w:val="pt-PT"/>
        </w:rPr>
        <w:t xml:space="preserve">academic disciplines.  </w:t>
      </w:r>
      <w:r w:rsidRPr="00DE3714">
        <w:rPr>
          <w:rFonts w:ascii="Arial" w:hAnsi="Arial" w:cs="Arial"/>
          <w:sz w:val="14"/>
          <w:szCs w:val="14"/>
        </w:rPr>
        <w:t xml:space="preserve">He has spent 20,000 hours in T2D research.  First, he studied six metabolic diseases and food nutrition during 2010-2013, then conducted research during 2014-2018. </w:t>
      </w:r>
      <w:r>
        <w:rPr>
          <w:rFonts w:ascii="Arial" w:hAnsi="Arial" w:cs="Arial"/>
          <w:sz w:val="14"/>
          <w:szCs w:val="14"/>
        </w:rPr>
        <w:t xml:space="preserve"> </w:t>
      </w:r>
      <w:r w:rsidRPr="00DE3714">
        <w:rPr>
          <w:rFonts w:ascii="Arial" w:hAnsi="Arial" w:cs="Arial"/>
          <w:sz w:val="14"/>
          <w:szCs w:val="14"/>
        </w:rPr>
        <w:t xml:space="preserve">His approach is “math-physics and quantitative medicine” based on mathematics, physics, engineering modeling, signal processing, computer science, big data analytics, statistics, machine learning, and AI.  </w:t>
      </w:r>
      <w:r w:rsidRPr="00DE3714">
        <w:rPr>
          <w:rFonts w:ascii="Arial" w:hAnsi="Arial" w:cs="Arial"/>
          <w:sz w:val="14"/>
          <w:szCs w:val="14"/>
          <w:lang w:val="fr-FR"/>
        </w:rPr>
        <w:t xml:space="preserve">His main focus is on preventive medicine using prediction tools. </w:t>
      </w:r>
      <w:r>
        <w:rPr>
          <w:rFonts w:ascii="Arial" w:hAnsi="Arial" w:cs="Arial"/>
          <w:sz w:val="14"/>
          <w:szCs w:val="14"/>
        </w:rPr>
        <w:t xml:space="preserve"> </w:t>
      </w:r>
      <w:r w:rsidRPr="00DE3714">
        <w:rPr>
          <w:rFonts w:ascii="Arial" w:hAnsi="Arial" w:cs="Arial"/>
          <w:sz w:val="14"/>
          <w:szCs w:val="14"/>
        </w:rPr>
        <w:t>He believes that the better the prediction, the more control you have.</w:t>
      </w:r>
      <w:r w:rsidRPr="00DE3714">
        <w:rPr>
          <w:rFonts w:ascii="Times New Roman" w:hAnsi="Times New Roman"/>
          <w:sz w:val="14"/>
          <w:szCs w:val="14"/>
        </w:rPr>
        <w:t xml:space="preserve"> </w:t>
      </w:r>
    </w:p>
    <w:p w14:paraId="15A170B4" w14:textId="77777777" w:rsidR="00A450CF" w:rsidRDefault="00A450CF" w:rsidP="00A450CF">
      <w:pPr>
        <w:pStyle w:val="Default"/>
        <w:rPr>
          <w:rFonts w:ascii="Times New Roman" w:eastAsia="Times New Roman" w:hAnsi="Times New Roman" w:cs="Times New Roman"/>
          <w:sz w:val="14"/>
          <w:szCs w:val="14"/>
        </w:rPr>
      </w:pPr>
    </w:p>
    <w:p w14:paraId="6D6D6149" w14:textId="77777777" w:rsidR="00A450CF" w:rsidRPr="005954B1" w:rsidRDefault="00A450CF" w:rsidP="00A450CF">
      <w:pPr>
        <w:pStyle w:val="Body"/>
        <w:rPr>
          <w:rFonts w:ascii="Times New Roman" w:eastAsia="Times New Roman" w:hAnsi="Times New Roman" w:cs="Times New Roman"/>
          <w:sz w:val="16"/>
          <w:szCs w:val="16"/>
        </w:rPr>
      </w:pPr>
      <w:r w:rsidRPr="005954B1">
        <w:rPr>
          <w:rFonts w:ascii="Times New Roman" w:hAnsi="Times New Roman"/>
          <w:sz w:val="16"/>
          <w:szCs w:val="16"/>
        </w:rPr>
        <w:t xml:space="preserve">The author has not received any financial assistance from any organization. </w:t>
      </w:r>
    </w:p>
    <w:p w14:paraId="183A1AB1" w14:textId="45B17465" w:rsidR="00A450CF" w:rsidRPr="0001037D" w:rsidRDefault="00A450CF" w:rsidP="00A450CF">
      <w:pPr>
        <w:spacing w:before="62"/>
        <w:ind w:left="4217" w:right="4235"/>
        <w:jc w:val="center"/>
        <w:rPr>
          <w:rFonts w:ascii="Times New Roman" w:hAnsi="Times New Roman" w:cs="Times New Roman"/>
          <w:sz w:val="18"/>
          <w:szCs w:val="18"/>
        </w:rPr>
      </w:pPr>
      <w:r w:rsidRPr="0001037D">
        <w:rPr>
          <w:rFonts w:ascii="Times New Roman" w:hAnsi="Times New Roman" w:cs="Times New Roman"/>
          <w:sz w:val="18"/>
          <w:szCs w:val="18"/>
        </w:rPr>
        <w:t xml:space="preserve">Email: </w:t>
      </w:r>
      <w:hyperlink r:id="rId15" w:history="1">
        <w:r w:rsidR="0001037D" w:rsidRPr="0001037D">
          <w:rPr>
            <w:rStyle w:val="Hyperlink"/>
            <w:rFonts w:ascii="Times New Roman" w:hAnsi="Times New Roman" w:cs="Times New Roman"/>
            <w:sz w:val="18"/>
            <w:szCs w:val="18"/>
          </w:rPr>
          <w:t>g.hsu@eclaireMD.com</w:t>
        </w:r>
      </w:hyperlink>
    </w:p>
    <w:p w14:paraId="5A263096" w14:textId="77777777" w:rsidR="0001037D" w:rsidRDefault="00A450CF" w:rsidP="0001037D">
      <w:pPr>
        <w:pStyle w:val="BodyText"/>
        <w:spacing w:before="2"/>
        <w:rPr>
          <w:rFonts w:ascii="Minion Pro"/>
          <w:b/>
          <w:sz w:val="20"/>
        </w:rPr>
      </w:pPr>
      <w:r>
        <w:rPr>
          <w:noProof/>
        </w:rPr>
        <mc:AlternateContent>
          <mc:Choice Requires="wps">
            <w:drawing>
              <wp:anchor distT="0" distB="0" distL="0" distR="0" simplePos="0" relativeHeight="251663360" behindDoc="0" locked="0" layoutInCell="1" allowOverlap="1" wp14:anchorId="25946AFD" wp14:editId="49D9324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F9A7C" id="Line 3"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7127E9A" w14:textId="0622C9E1" w:rsidR="00A450CF" w:rsidRPr="00B21A57" w:rsidRDefault="00A450CF" w:rsidP="0001037D">
      <w:pPr>
        <w:pStyle w:val="BodyText"/>
        <w:spacing w:before="2"/>
        <w:rPr>
          <w:rFonts w:ascii="Minion Pro"/>
          <w:b/>
          <w:sz w:val="20"/>
        </w:rPr>
      </w:pPr>
      <w:r w:rsidRPr="00B21A57">
        <w:rPr>
          <w:rFonts w:ascii="Minion Pro"/>
          <w:b/>
          <w:sz w:val="20"/>
        </w:rPr>
        <w:t>Notes/Comments:</w:t>
      </w:r>
    </w:p>
    <w:p w14:paraId="09C240CD" w14:textId="2F004325" w:rsidR="00AE3E37" w:rsidRDefault="00AE3E37">
      <w:pPr>
        <w:rPr>
          <w:rFonts w:ascii="Minion Pro"/>
          <w:sz w:val="24"/>
        </w:rPr>
        <w:sectPr w:rsidR="00AE3E37" w:rsidSect="00EA7394">
          <w:type w:val="continuous"/>
          <w:pgSz w:w="11910" w:h="16840"/>
          <w:pgMar w:top="1389" w:right="600" w:bottom="840" w:left="620" w:header="720" w:footer="720" w:gutter="0"/>
          <w:cols w:space="720"/>
        </w:sectPr>
      </w:pPr>
      <w:bookmarkStart w:id="0" w:name="_GoBack"/>
      <w:bookmarkEnd w:id="0"/>
    </w:p>
    <w:p w14:paraId="7900943D" w14:textId="69853E18" w:rsidR="00AE3E37" w:rsidRDefault="00AE3E37" w:rsidP="00857999">
      <w:pPr>
        <w:pStyle w:val="BodyText"/>
        <w:spacing w:before="3"/>
        <w:rPr>
          <w:rFonts w:ascii="Minion Pro"/>
          <w:sz w:val="26"/>
        </w:rPr>
      </w:pPr>
    </w:p>
    <w:sectPr w:rsidR="00AE3E37" w:rsidSect="00EA7394">
      <w:type w:val="continuous"/>
      <w:pgSz w:w="11910" w:h="16840"/>
      <w:pgMar w:top="1389"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C1CB3" w14:textId="77777777" w:rsidR="0036715C" w:rsidRDefault="0036715C">
      <w:r>
        <w:separator/>
      </w:r>
    </w:p>
  </w:endnote>
  <w:endnote w:type="continuationSeparator" w:id="0">
    <w:p w14:paraId="405265DC" w14:textId="77777777" w:rsidR="0036715C" w:rsidRDefault="00367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DF2FA" w14:textId="77777777" w:rsidR="0036715C" w:rsidRDefault="0036715C">
      <w:r>
        <w:separator/>
      </w:r>
    </w:p>
  </w:footnote>
  <w:footnote w:type="continuationSeparator" w:id="0">
    <w:p w14:paraId="55D79342" w14:textId="77777777" w:rsidR="0036715C" w:rsidRDefault="003671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037D"/>
    <w:rsid w:val="00076615"/>
    <w:rsid w:val="000D237A"/>
    <w:rsid w:val="000E2911"/>
    <w:rsid w:val="001263DF"/>
    <w:rsid w:val="00292ED9"/>
    <w:rsid w:val="0036715C"/>
    <w:rsid w:val="00404E5B"/>
    <w:rsid w:val="00414F7B"/>
    <w:rsid w:val="004355DC"/>
    <w:rsid w:val="004416DE"/>
    <w:rsid w:val="004749B4"/>
    <w:rsid w:val="00475785"/>
    <w:rsid w:val="00494130"/>
    <w:rsid w:val="004F3523"/>
    <w:rsid w:val="00583E47"/>
    <w:rsid w:val="005973B9"/>
    <w:rsid w:val="005B3A56"/>
    <w:rsid w:val="005C7D9D"/>
    <w:rsid w:val="006060CE"/>
    <w:rsid w:val="0062217D"/>
    <w:rsid w:val="0063497F"/>
    <w:rsid w:val="00704B41"/>
    <w:rsid w:val="007215FE"/>
    <w:rsid w:val="00857999"/>
    <w:rsid w:val="00873DF0"/>
    <w:rsid w:val="008756E6"/>
    <w:rsid w:val="008903A8"/>
    <w:rsid w:val="009B2D44"/>
    <w:rsid w:val="00A07E82"/>
    <w:rsid w:val="00A450CF"/>
    <w:rsid w:val="00A47AAE"/>
    <w:rsid w:val="00A9710C"/>
    <w:rsid w:val="00AE3E37"/>
    <w:rsid w:val="00B21A57"/>
    <w:rsid w:val="00C33602"/>
    <w:rsid w:val="00CA1F65"/>
    <w:rsid w:val="00CD6F55"/>
    <w:rsid w:val="00CF1DD7"/>
    <w:rsid w:val="00DE3104"/>
    <w:rsid w:val="00E02520"/>
    <w:rsid w:val="00EA7394"/>
    <w:rsid w:val="00F72EEA"/>
    <w:rsid w:val="00F84CAE"/>
    <w:rsid w:val="00FA13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959CC"/>
  <w15:docId w15:val="{305AFB67-F97B-4CA6-8EBF-FB443D85C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A450CF"/>
    <w:pPr>
      <w:widowControl/>
      <w:pBdr>
        <w:top w:val="nil"/>
        <w:left w:val="nil"/>
        <w:bottom w:val="nil"/>
        <w:right w:val="nil"/>
        <w:between w:val="nil"/>
        <w:bar w:val="nil"/>
      </w:pBdr>
    </w:pPr>
    <w:rPr>
      <w:rFonts w:ascii="Helvetica Neue" w:eastAsia="Arial Unicode MS" w:hAnsi="Helvetica Neue" w:cs="Arial Unicode MS"/>
      <w:color w:val="000000"/>
      <w:bdr w:val="nil"/>
    </w:rPr>
  </w:style>
  <w:style w:type="paragraph" w:customStyle="1" w:styleId="Body">
    <w:name w:val="Body"/>
    <w:rsid w:val="00A450CF"/>
    <w:pPr>
      <w:widowControl/>
      <w:pBdr>
        <w:top w:val="nil"/>
        <w:left w:val="nil"/>
        <w:bottom w:val="nil"/>
        <w:right w:val="nil"/>
        <w:between w:val="nil"/>
        <w:bar w:val="nil"/>
      </w:pBdr>
    </w:pPr>
    <w:rPr>
      <w:rFonts w:ascii="Helvetica Neue" w:eastAsia="Helvetica Neue" w:hAnsi="Helvetica Neue" w:cs="Helvetica Neue"/>
      <w:color w:val="000000"/>
      <w:bdr w:val="nil"/>
    </w:rPr>
  </w:style>
  <w:style w:type="character" w:customStyle="1" w:styleId="Hyperlink0">
    <w:name w:val="Hyperlink.0"/>
    <w:basedOn w:val="DefaultParagraphFont"/>
    <w:rsid w:val="00857999"/>
    <w:rPr>
      <w:u w:val="single" w:color="0000F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edcraveonline.com/AOWMC/AOWMC-08-00249.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pastonline.com/wp-content/uploads/2018/07/a-clinic-case-of-using-math-physical-medicine-to-study-the-probability-of-having-a-heart-attack-or-stroke-based-on-combination-of-metabolic-conditions-lifestyle-and-metabolism-index-jcrc-2018.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pastonline.com/wp-content/uploads/2018/07/a-clinic-case-of-using-math-physical-medicine-to-study-the-probability-of-having-a-heart-attack-or-stroke-based-on-combination-of-metabolic-conditions-lifestyle-and-metabolism-index-jcrc-2018.pdf" TargetMode="External"/><Relationship Id="rId5" Type="http://schemas.openxmlformats.org/officeDocument/2006/relationships/webSettings" Target="webSettings.xml"/><Relationship Id="rId15" Type="http://schemas.openxmlformats.org/officeDocument/2006/relationships/hyperlink" Target="mailto:g.hsu@eclaireMD.com" TargetMode="External"/><Relationship Id="rId10" Type="http://schemas.openxmlformats.org/officeDocument/2006/relationships/hyperlink" Target="http://cmepub.com/pdfs/using-mathphysical-medicine-and-artificial-intelligence-technology-to-manage-lifestyle-and-control-metabolic-conditions-of-t2d-412.pdf" TargetMode="External"/><Relationship Id="rId4" Type="http://schemas.openxmlformats.org/officeDocument/2006/relationships/settings" Target="settings.xml"/><Relationship Id="rId9" Type="http://schemas.openxmlformats.org/officeDocument/2006/relationships/hyperlink" Target="https://www.opastonline.com/wp-content/uploads/2018/06/using-signal-processing-techniques-to-predict-ppg-for-t2d-ijdmd-18.pdf"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BD534-4ED1-4EA0-BBA0-2C4A98053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Janet Kwan</cp:lastModifiedBy>
  <cp:revision>2</cp:revision>
  <dcterms:created xsi:type="dcterms:W3CDTF">2018-08-13T08:04:00Z</dcterms:created>
  <dcterms:modified xsi:type="dcterms:W3CDTF">2018-08-13T08:04:00Z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