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A9951" w14:textId="77777777" w:rsidR="00E356FB" w:rsidRPr="00E356FB" w:rsidRDefault="00E356FB" w:rsidP="00E356FB">
      <w:pPr>
        <w:pStyle w:val="Default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356FB">
        <w:rPr>
          <w:rFonts w:ascii="Arial" w:hAnsi="Arial" w:cs="Arial"/>
          <w:b/>
          <w:bCs/>
          <w:sz w:val="30"/>
          <w:szCs w:val="30"/>
        </w:rPr>
        <w:t>Relationship Between Weight and Glucose Using Math-Physics Medicine</w:t>
      </w:r>
    </w:p>
    <w:p w14:paraId="7D7E3564" w14:textId="77777777" w:rsidR="0001037D" w:rsidRPr="00A450CF" w:rsidRDefault="0001037D" w:rsidP="00A450CF">
      <w:pPr>
        <w:pStyle w:val="Default"/>
        <w:jc w:val="center"/>
        <w:rPr>
          <w:rFonts w:ascii="Arial" w:eastAsia="Times New Roman" w:hAnsi="Arial" w:cs="Arial"/>
          <w:b/>
          <w:bCs/>
          <w:sz w:val="30"/>
          <w:szCs w:val="30"/>
        </w:rPr>
      </w:pPr>
    </w:p>
    <w:p w14:paraId="50FD8FE1" w14:textId="13E01411" w:rsidR="005973B9" w:rsidRDefault="00A450CF" w:rsidP="0001037D">
      <w:pPr>
        <w:pStyle w:val="BodyText"/>
        <w:spacing w:before="73" w:line="80" w:lineRule="exact"/>
        <w:ind w:right="5990"/>
        <w:rPr>
          <w:rFonts w:ascii="Arial"/>
        </w:rPr>
      </w:pPr>
      <w:r>
        <w:rPr>
          <w:rFonts w:ascii="Arial"/>
        </w:rPr>
        <w:t>Gerald C. Hsu, eclaireMD Foundation, USA</w:t>
      </w:r>
    </w:p>
    <w:p w14:paraId="2A858720" w14:textId="77DAAA7A" w:rsidR="00AE3E37" w:rsidRDefault="00AE3E37">
      <w:pPr>
        <w:pStyle w:val="BodyText"/>
        <w:rPr>
          <w:rFonts w:ascii="Arial"/>
          <w:sz w:val="20"/>
        </w:rPr>
      </w:pPr>
    </w:p>
    <w:p w14:paraId="5F9DAF0A" w14:textId="77777777" w:rsidR="00AE3E37" w:rsidRDefault="00AE3E37">
      <w:pPr>
        <w:rPr>
          <w:rFonts w:ascii="Arial"/>
          <w:sz w:val="21"/>
        </w:rPr>
        <w:sectPr w:rsidR="00AE3E37" w:rsidSect="00076615">
          <w:type w:val="continuous"/>
          <w:pgSz w:w="11910" w:h="16840"/>
          <w:pgMar w:top="1135" w:right="600" w:bottom="993" w:left="620" w:header="541" w:footer="642" w:gutter="0"/>
          <w:cols w:space="720"/>
        </w:sectPr>
      </w:pPr>
    </w:p>
    <w:p w14:paraId="6B24D9DF" w14:textId="66934BD8" w:rsidR="00A450CF" w:rsidRDefault="00A9710C" w:rsidP="00A450CF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48DFF92" w14:textId="3064D7FB" w:rsidR="00E356FB" w:rsidRDefault="00E356FB" w:rsidP="00E356FB">
      <w:pPr>
        <w:pStyle w:val="Default"/>
        <w:rPr>
          <w:rFonts w:ascii="Arial" w:hAnsi="Arial" w:cs="Arial"/>
          <w:b/>
          <w:bCs/>
          <w:color w:val="212121"/>
          <w:sz w:val="18"/>
          <w:szCs w:val="18"/>
          <w:shd w:val="clear" w:color="auto" w:fill="FEFFFE"/>
        </w:rPr>
      </w:pPr>
    </w:p>
    <w:p w14:paraId="5B37C226" w14:textId="0BC56459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b/>
          <w:bCs/>
          <w:color w:val="212121"/>
          <w:shd w:val="clear" w:color="auto" w:fill="FEFFFE"/>
        </w:rPr>
        <w:t>Background and Aim:</w:t>
      </w:r>
    </w:p>
    <w:p w14:paraId="05201648" w14:textId="039A6EC2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 xml:space="preserve">This paper investigates the relationship between weight and glucose, based on </w:t>
      </w:r>
      <w:r w:rsidRPr="00E356FB">
        <w:rPr>
          <w:rFonts w:ascii="Arial" w:hAnsi="Arial" w:cs="Arial"/>
          <w:color w:val="212121"/>
          <w:shd w:val="clear" w:color="auto" w:fill="FEFFFE"/>
          <w:lang w:val="nl-NL"/>
        </w:rPr>
        <w:t>13,480 data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 covering 2,245 days (1/1/2012 - 2/24/ 2018) from a diabetes patient’s </w:t>
      </w:r>
      <w:r w:rsidRPr="00E356FB">
        <w:rPr>
          <w:rFonts w:ascii="Arial" w:hAnsi="Arial" w:cs="Arial"/>
          <w:color w:val="212121"/>
          <w:shd w:val="clear" w:color="auto" w:fill="FEFFFE"/>
          <w:lang w:val="fr-FR"/>
        </w:rPr>
        <w:t>1.5 million statistics.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 </w:t>
      </w:r>
    </w:p>
    <w:p w14:paraId="3B037FE7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</w:p>
    <w:p w14:paraId="104EA028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b/>
          <w:bCs/>
          <w:color w:val="212121"/>
          <w:shd w:val="clear" w:color="auto" w:fill="FEFFFE"/>
        </w:rPr>
        <w:t>Material and Method:</w:t>
      </w:r>
    </w:p>
    <w:p w14:paraId="3362CCD7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 xml:space="preserve">Health conditions prior to 2012 vs. after 2012: </w:t>
      </w:r>
    </w:p>
    <w:p w14:paraId="70591152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 xml:space="preserve">Weight - </w:t>
      </w:r>
      <w:r w:rsidRPr="00E356FB">
        <w:rPr>
          <w:rFonts w:ascii="Arial" w:hAnsi="Arial" w:cs="Arial"/>
          <w:color w:val="212121"/>
          <w:shd w:val="clear" w:color="auto" w:fill="FEFFFE"/>
          <w:lang w:val="de-DE"/>
        </w:rPr>
        <w:t xml:space="preserve">210 lbs. </w:t>
      </w:r>
      <w:r w:rsidRPr="00E356FB">
        <w:rPr>
          <w:rFonts w:ascii="Arial" w:hAnsi="Arial" w:cs="Arial"/>
          <w:color w:val="212121"/>
          <w:shd w:val="clear" w:color="auto" w:fill="FEFFFE"/>
        </w:rPr>
        <w:t>vs. 166.9-193.8 lbs.</w:t>
      </w:r>
    </w:p>
    <w:p w14:paraId="23FA5FFE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>BMI - 31 vs. 24.65-28.65</w:t>
      </w:r>
    </w:p>
    <w:p w14:paraId="574147A6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 xml:space="preserve">Max. </w:t>
      </w:r>
      <w:r w:rsidRPr="00E356FB">
        <w:rPr>
          <w:rFonts w:ascii="Arial" w:hAnsi="Arial" w:cs="Arial"/>
          <w:color w:val="212121"/>
          <w:shd w:val="clear" w:color="auto" w:fill="FEFFFE"/>
          <w:lang w:val="es-ES_tradnl"/>
        </w:rPr>
        <w:t>PPG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 - 380 mg/dL vs. 52-280 mg/dL</w:t>
      </w:r>
    </w:p>
    <w:p w14:paraId="7E6683DE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>Average PPG - 280 mg/dL vs. 126.5 mg/dL</w:t>
      </w:r>
    </w:p>
    <w:p w14:paraId="3DDDD050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>A1C – above 10.0% vs. 6.5%</w:t>
      </w:r>
    </w:p>
    <w:p w14:paraId="018D5FDD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</w:p>
    <w:p w14:paraId="27A349C0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 xml:space="preserve">This 4-year research project utilized advanced mathematics, finite </w:t>
      </w:r>
      <w:r w:rsidRPr="00E356FB">
        <w:rPr>
          <w:rFonts w:ascii="Arial" w:hAnsi="Arial" w:cs="Arial"/>
          <w:color w:val="212121"/>
          <w:shd w:val="clear" w:color="auto" w:fill="FEFFFE"/>
          <w:lang w:val="fr-FR"/>
        </w:rPr>
        <w:t>element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 modeling, signal processing, big data analytics, statistics, and </w:t>
      </w:r>
      <w:r w:rsidRPr="00E356FB">
        <w:rPr>
          <w:rFonts w:ascii="Arial" w:hAnsi="Arial" w:cs="Arial"/>
          <w:color w:val="212121"/>
          <w:shd w:val="clear" w:color="auto" w:fill="FEFFFE"/>
          <w:lang w:val="fr-FR"/>
        </w:rPr>
        <w:t>artificial intelligence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. </w:t>
      </w:r>
    </w:p>
    <w:p w14:paraId="3E510186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> </w:t>
      </w:r>
    </w:p>
    <w:p w14:paraId="44B44E8E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b/>
          <w:bCs/>
          <w:color w:val="212121"/>
          <w:shd w:val="clear" w:color="auto" w:fill="FEFFFE"/>
        </w:rPr>
        <w:t>Results:</w:t>
      </w:r>
    </w:p>
    <w:p w14:paraId="543669B6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 xml:space="preserve">Among the 5 FPG’s influential factors, weight is the most dominant one, contributing ~90%.  Weight and FPG have a high correlation of 84%.  In spatial analysis, 93% of the total collected data is covered by a +/- 20% band around a </w:t>
      </w:r>
      <w:r w:rsidRPr="00E356FB">
        <w:rPr>
          <w:rFonts w:ascii="Arial" w:hAnsi="Arial" w:cs="Arial"/>
          <w:color w:val="212121"/>
          <w:shd w:val="clear" w:color="auto" w:fill="FEFFFE"/>
          <w:lang w:val="ru-RU"/>
        </w:rPr>
        <w:t>“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skewed line”. This </w:t>
      </w:r>
      <w:r w:rsidRPr="00E356FB">
        <w:rPr>
          <w:rFonts w:ascii="Arial" w:hAnsi="Arial" w:cs="Arial"/>
          <w:color w:val="212121"/>
          <w:shd w:val="clear" w:color="auto" w:fill="FEFFFE"/>
          <w:lang w:val="ru-RU"/>
        </w:rPr>
        <w:t>“</w:t>
      </w:r>
      <w:r w:rsidRPr="00E356FB">
        <w:rPr>
          <w:rFonts w:ascii="Arial" w:hAnsi="Arial" w:cs="Arial"/>
          <w:color w:val="212121"/>
          <w:shd w:val="clear" w:color="auto" w:fill="FEFFFE"/>
        </w:rPr>
        <w:t>relationship band” stretched from point A (24.5, 95) to point B (27.2, 150) on a map with coordinates of x=BMI and y=glucose.</w:t>
      </w:r>
    </w:p>
    <w:p w14:paraId="468259F0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</w:p>
    <w:p w14:paraId="11C11878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 xml:space="preserve">However, among the PPG’s 15 influential factors, weight is not the dominating factor.  Instead, the combined effect of carbs/sugar intake and post-meal exercise contributes 81% of PPG formation.  Weather and measurement time delay count for 14% and the other factors impact 5%.  Weight and PPG have a low </w:t>
      </w:r>
      <w:r w:rsidRPr="00E356FB">
        <w:rPr>
          <w:rFonts w:ascii="Arial" w:hAnsi="Arial" w:cs="Arial"/>
          <w:color w:val="212121"/>
          <w:shd w:val="clear" w:color="auto" w:fill="FEFFFE"/>
          <w:lang w:val="fr-FR"/>
        </w:rPr>
        <w:t xml:space="preserve">correlation 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(from 9% to 36%).  In spatial analysis, 86% of the total collected data covers by a +/- 20% band centering around a “horizontal” </w:t>
      </w:r>
      <w:r w:rsidRPr="00E356FB">
        <w:rPr>
          <w:rFonts w:ascii="Arial" w:hAnsi="Arial" w:cs="Arial"/>
          <w:color w:val="212121"/>
          <w:shd w:val="clear" w:color="auto" w:fill="FEFFFE"/>
          <w:lang w:val="es-ES_tradnl"/>
        </w:rPr>
        <w:t xml:space="preserve">PPG </w:t>
      </w:r>
      <w:r w:rsidRPr="00E356FB">
        <w:rPr>
          <w:rFonts w:ascii="Arial" w:hAnsi="Arial" w:cs="Arial"/>
          <w:color w:val="212121"/>
          <w:shd w:val="clear" w:color="auto" w:fill="FEFFFE"/>
        </w:rPr>
        <w:t>line of 127 mg/dL.</w:t>
      </w:r>
    </w:p>
    <w:p w14:paraId="37D463A0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</w:p>
    <w:p w14:paraId="69FEB528" w14:textId="77777777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b/>
          <w:bCs/>
          <w:color w:val="212121"/>
          <w:shd w:val="clear" w:color="auto" w:fill="FEFFFE"/>
        </w:rPr>
        <w:t>Conclusion:</w:t>
      </w:r>
    </w:p>
    <w:p w14:paraId="6B78BD09" w14:textId="315BE39D" w:rsidR="00E356FB" w:rsidRPr="00E356FB" w:rsidRDefault="00E356FB" w:rsidP="00E356FB">
      <w:pPr>
        <w:pStyle w:val="Default"/>
        <w:rPr>
          <w:rFonts w:ascii="Arial" w:eastAsia="Times New Roman" w:hAnsi="Arial" w:cs="Arial"/>
          <w:color w:val="212121"/>
          <w:shd w:val="clear" w:color="auto" w:fill="FEFFFE"/>
        </w:rPr>
      </w:pPr>
      <w:r w:rsidRPr="00E356FB">
        <w:rPr>
          <w:rFonts w:ascii="Arial" w:hAnsi="Arial" w:cs="Arial"/>
          <w:color w:val="212121"/>
          <w:shd w:val="clear" w:color="auto" w:fill="FEFFFE"/>
        </w:rPr>
        <w:t xml:space="preserve">The results show that 93% of FPG data are directly related to weight according to a </w:t>
      </w:r>
      <w:r w:rsidRPr="00E356FB">
        <w:rPr>
          <w:rFonts w:ascii="Arial" w:hAnsi="Arial" w:cs="Arial"/>
          <w:color w:val="212121"/>
          <w:shd w:val="clear" w:color="auto" w:fill="FEFFFE"/>
          <w:lang w:val="ru-RU"/>
        </w:rPr>
        <w:t>“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fixed” </w:t>
      </w:r>
      <w:r w:rsidRPr="00E356FB">
        <w:rPr>
          <w:rFonts w:ascii="Arial" w:hAnsi="Arial" w:cs="Arial"/>
          <w:color w:val="212121"/>
          <w:shd w:val="clear" w:color="auto" w:fill="FEFFFE"/>
          <w:lang w:val="nl-NL"/>
        </w:rPr>
        <w:t xml:space="preserve">slope. 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 However, 86% of</w:t>
      </w:r>
      <w:r w:rsidRPr="00E356FB">
        <w:rPr>
          <w:rFonts w:ascii="Arial" w:hAnsi="Arial" w:cs="Arial"/>
          <w:color w:val="212121"/>
          <w:shd w:val="clear" w:color="auto" w:fill="FEFFFE"/>
          <w:lang w:val="es-ES_tradnl"/>
        </w:rPr>
        <w:t xml:space="preserve"> PPG data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 are kept within a horizontal range from 102 mg/dL to 152 mg/dL because of </w:t>
      </w:r>
      <w:r w:rsidRPr="00E356FB">
        <w:rPr>
          <w:rFonts w:ascii="Arial" w:hAnsi="Arial" w:cs="Arial"/>
          <w:color w:val="212121"/>
          <w:shd w:val="clear" w:color="auto" w:fill="FEFFFE"/>
          <w:lang w:val="es-ES_tradnl"/>
        </w:rPr>
        <w:t>carbs/sugar</w:t>
      </w:r>
      <w:bookmarkStart w:id="0" w:name="_GoBack"/>
      <w:bookmarkEnd w:id="0"/>
      <w:r w:rsidRPr="00E356FB">
        <w:rPr>
          <w:rFonts w:ascii="Arial" w:hAnsi="Arial" w:cs="Arial"/>
          <w:color w:val="212121"/>
          <w:shd w:val="clear" w:color="auto" w:fill="FEFFFE"/>
          <w:lang w:val="es-ES_tradnl"/>
        </w:rPr>
        <w:t xml:space="preserve"> </w:t>
      </w:r>
      <w:r w:rsidRPr="00E356FB">
        <w:rPr>
          <w:rFonts w:ascii="Arial" w:hAnsi="Arial" w:cs="Arial"/>
          <w:color w:val="212121"/>
          <w:shd w:val="clear" w:color="auto" w:fill="FEFFFE"/>
        </w:rPr>
        <w:t>intake and post-meal exercise, but not from weight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 (Figure 1)</w:t>
      </w:r>
      <w:r w:rsidRPr="00E356FB">
        <w:rPr>
          <w:rFonts w:ascii="Arial" w:hAnsi="Arial" w:cs="Arial"/>
          <w:color w:val="212121"/>
          <w:shd w:val="clear" w:color="auto" w:fill="FEFFFE"/>
        </w:rPr>
        <w:t xml:space="preserve">. </w:t>
      </w:r>
    </w:p>
    <w:p w14:paraId="570B233A" w14:textId="35460B99" w:rsidR="00A450CF" w:rsidRPr="00A450CF" w:rsidRDefault="00A450CF" w:rsidP="00A450CF">
      <w:pPr>
        <w:pStyle w:val="Default"/>
        <w:rPr>
          <w:rFonts w:ascii="Arial" w:eastAsia="Times New Roman" w:hAnsi="Arial" w:cs="Arial"/>
          <w:sz w:val="18"/>
          <w:szCs w:val="18"/>
        </w:rPr>
      </w:pPr>
      <w:r w:rsidRPr="00A450CF">
        <w:rPr>
          <w:rFonts w:ascii="Arial" w:hAnsi="Arial" w:cs="Arial"/>
          <w:sz w:val="18"/>
          <w:szCs w:val="18"/>
        </w:rPr>
        <w:t>.</w:t>
      </w:r>
    </w:p>
    <w:p w14:paraId="00E2B0F0" w14:textId="72387496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  <w:r w:rsidR="0001037D">
        <w:rPr>
          <w:color w:val="BF5A14"/>
        </w:rPr>
        <w:t>s</w:t>
      </w:r>
    </w:p>
    <w:p w14:paraId="13AA8AC8" w14:textId="32979DA6" w:rsidR="00AE3E37" w:rsidRDefault="00E356FB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eastAsia="Times New Roman" w:hAnsi="Times New Roman" w:cs="Times New Roman"/>
          <w:noProof/>
          <w:sz w:val="60"/>
          <w:szCs w:val="60"/>
        </w:rPr>
        <w:drawing>
          <wp:anchor distT="152400" distB="152400" distL="152400" distR="152400" simplePos="0" relativeHeight="251665408" behindDoc="0" locked="0" layoutInCell="1" allowOverlap="1" wp14:anchorId="65D7DAFA" wp14:editId="4837A4D7">
            <wp:simplePos x="0" y="0"/>
            <wp:positionH relativeFrom="margin">
              <wp:posOffset>3444875</wp:posOffset>
            </wp:positionH>
            <wp:positionV relativeFrom="line">
              <wp:posOffset>90805</wp:posOffset>
            </wp:positionV>
            <wp:extent cx="3295650" cy="1826895"/>
            <wp:effectExtent l="0" t="0" r="0" b="1905"/>
            <wp:wrapNone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2441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8268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44F5B" w14:textId="38C682E0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03F5590A" w14:textId="40E7BBD6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76657539" w14:textId="48F98AB5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2D4F0C6F" w14:textId="3C3D9CB3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4C9CDA8F" w14:textId="0324A306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387990CB" w14:textId="059927E1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2AB4845A" w14:textId="77777777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6A464AE8" w14:textId="77777777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25B49ACC" w14:textId="77777777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1CA348E5" w14:textId="77777777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3F30494A" w14:textId="77777777" w:rsidR="00A450CF" w:rsidRDefault="00A450CF">
      <w:pPr>
        <w:pStyle w:val="BodyText"/>
        <w:spacing w:before="2"/>
        <w:rPr>
          <w:rFonts w:ascii="Arial"/>
          <w:b/>
          <w:sz w:val="16"/>
        </w:rPr>
      </w:pPr>
    </w:p>
    <w:p w14:paraId="50A8FD42" w14:textId="7E06EA8B" w:rsidR="00A450CF" w:rsidRDefault="00A450C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BDF4FEF" w14:textId="567C05AE" w:rsidR="00A450CF" w:rsidRDefault="00A450C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E08B499" w14:textId="77777777" w:rsidR="00A450CF" w:rsidRDefault="00A450C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F0559CE" w14:textId="77777777" w:rsidR="00A450CF" w:rsidRDefault="00A450C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B52F000" w14:textId="52BD79E8" w:rsidR="00A450CF" w:rsidRDefault="00A450C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7CE2ABC" w14:textId="76DC6F25" w:rsidR="00A450CF" w:rsidRPr="00043431" w:rsidRDefault="00E356FB" w:rsidP="005973B9">
      <w:pPr>
        <w:spacing w:line="204" w:lineRule="exact"/>
        <w:rPr>
          <w:rFonts w:ascii="Arial"/>
          <w:b/>
          <w:color w:val="000000" w:themeColor="text1"/>
          <w:sz w:val="18"/>
          <w:szCs w:val="18"/>
        </w:rPr>
      </w:pPr>
      <w:r w:rsidRPr="00043431">
        <w:rPr>
          <w:rFonts w:ascii="Arial"/>
          <w:b/>
          <w:color w:val="000000" w:themeColor="text1"/>
          <w:sz w:val="18"/>
          <w:szCs w:val="18"/>
        </w:rPr>
        <w:t>Figure 1:  PPG Data results</w:t>
      </w:r>
    </w:p>
    <w:p w14:paraId="49462ABD" w14:textId="77777777" w:rsidR="00A450CF" w:rsidRDefault="00A450C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10F122A" w14:textId="25137A73" w:rsidR="00A450CF" w:rsidRDefault="00E356FB" w:rsidP="005973B9">
      <w:pPr>
        <w:spacing w:line="204" w:lineRule="exact"/>
        <w:rPr>
          <w:rFonts w:ascii="Arial" w:hAnsi="Arial" w:cs="Arial"/>
          <w:b/>
          <w:color w:val="BF5A14"/>
          <w:sz w:val="20"/>
          <w:szCs w:val="20"/>
        </w:rPr>
      </w:pPr>
      <w:r w:rsidRPr="00E356FB">
        <w:rPr>
          <w:rFonts w:ascii="Arial" w:hAnsi="Arial" w:cs="Arial"/>
          <w:b/>
          <w:color w:val="BF5A14"/>
          <w:sz w:val="20"/>
          <w:szCs w:val="20"/>
        </w:rPr>
        <w:t>Recent Publications (minimum 5)</w:t>
      </w:r>
    </w:p>
    <w:p w14:paraId="774D5C99" w14:textId="77777777" w:rsidR="00043431" w:rsidRPr="00E356FB" w:rsidRDefault="00043431" w:rsidP="005973B9">
      <w:pPr>
        <w:spacing w:line="204" w:lineRule="exact"/>
        <w:rPr>
          <w:rFonts w:ascii="Arial" w:hAnsi="Arial" w:cs="Arial"/>
          <w:b/>
          <w:color w:val="BF5A14"/>
          <w:sz w:val="20"/>
          <w:szCs w:val="20"/>
        </w:rPr>
      </w:pPr>
    </w:p>
    <w:p w14:paraId="5484AA06" w14:textId="77777777" w:rsidR="00E356FB" w:rsidRPr="003A1DB6" w:rsidRDefault="00E356FB" w:rsidP="00E356FB">
      <w:pPr>
        <w:pStyle w:val="Default"/>
        <w:rPr>
          <w:rStyle w:val="Hyperlink"/>
          <w:rFonts w:ascii="Arial" w:hAnsi="Arial" w:cs="Arial"/>
          <w:i/>
          <w:iCs/>
          <w:sz w:val="18"/>
          <w:szCs w:val="18"/>
          <w:shd w:val="clear" w:color="auto" w:fill="FEFFFE"/>
        </w:rPr>
      </w:pPr>
      <w:r w:rsidRPr="0031299C">
        <w:rPr>
          <w:rFonts w:ascii="Arial" w:hAnsi="Arial" w:cs="Arial"/>
          <w:sz w:val="18"/>
          <w:szCs w:val="18"/>
          <w:shd w:val="clear" w:color="auto" w:fill="FEFFFE"/>
        </w:rPr>
        <w:t xml:space="preserve">1.  Hsu, Gerald C. (2018). Using Math-Physical Medicine to Control T2D via Metabolism Monitoring and Glucose Predictions. </w:t>
      </w:r>
      <w:r w:rsidRPr="0031299C">
        <w:rPr>
          <w:rFonts w:ascii="Arial" w:hAnsi="Arial" w:cs="Arial"/>
          <w:i/>
          <w:iCs/>
          <w:sz w:val="18"/>
          <w:szCs w:val="18"/>
          <w:shd w:val="clear" w:color="auto" w:fill="FEFFFE"/>
        </w:rPr>
        <w:t xml:space="preserve">Journal of Endocrinology and Diabetes, </w:t>
      </w:r>
      <w:r w:rsidRPr="0031299C">
        <w:rPr>
          <w:rFonts w:ascii="Arial" w:hAnsi="Arial" w:cs="Arial"/>
          <w:i/>
          <w:sz w:val="18"/>
          <w:szCs w:val="18"/>
          <w:shd w:val="clear" w:color="auto" w:fill="FEFFFE"/>
        </w:rPr>
        <w:t>1</w:t>
      </w:r>
      <w:r w:rsidRPr="0031299C">
        <w:rPr>
          <w:rFonts w:ascii="Arial" w:hAnsi="Arial" w:cs="Arial"/>
          <w:sz w:val="18"/>
          <w:szCs w:val="18"/>
          <w:shd w:val="clear" w:color="auto" w:fill="FEFFFE"/>
        </w:rPr>
        <w:t>(1), 1-6. Retrieved from</w:t>
      </w:r>
      <w:r w:rsidRPr="0031299C">
        <w:rPr>
          <w:rFonts w:ascii="Arial" w:hAnsi="Arial" w:cs="Arial"/>
          <w:i/>
          <w:iCs/>
          <w:sz w:val="18"/>
          <w:szCs w:val="18"/>
          <w:shd w:val="clear" w:color="auto" w:fill="FEFFFE"/>
        </w:rPr>
        <w:t xml:space="preserve"> </w:t>
      </w:r>
      <w:r>
        <w:rPr>
          <w:rStyle w:val="Hyperlink0"/>
          <w:rFonts w:ascii="Arial" w:hAnsi="Arial" w:cs="Arial"/>
          <w:color w:val="000000" w:themeColor="text1"/>
          <w:sz w:val="18"/>
          <w:szCs w:val="18"/>
          <w:shd w:val="clear" w:color="auto" w:fill="FEFFFE"/>
        </w:rPr>
        <w:fldChar w:fldCharType="begin"/>
      </w:r>
      <w:r>
        <w:rPr>
          <w:rStyle w:val="Hyperlink0"/>
          <w:rFonts w:ascii="Arial" w:hAnsi="Arial" w:cs="Arial"/>
          <w:color w:val="000000" w:themeColor="text1"/>
          <w:sz w:val="18"/>
          <w:szCs w:val="18"/>
          <w:shd w:val="clear" w:color="auto" w:fill="FEFFFE"/>
        </w:rPr>
        <w:instrText xml:space="preserve"> HYPERLINK "http://www.kosmospublishers.com/wp-content/uploads/%25202018/06/" </w:instrText>
      </w:r>
      <w:r>
        <w:rPr>
          <w:rStyle w:val="Hyperlink0"/>
          <w:rFonts w:ascii="Arial" w:hAnsi="Arial" w:cs="Arial"/>
          <w:color w:val="000000" w:themeColor="text1"/>
          <w:sz w:val="18"/>
          <w:szCs w:val="18"/>
          <w:shd w:val="clear" w:color="auto" w:fill="FEFFFE"/>
        </w:rPr>
        <w:fldChar w:fldCharType="separate"/>
      </w:r>
      <w:r w:rsidRPr="003A1DB6">
        <w:rPr>
          <w:rStyle w:val="Hyperlink"/>
          <w:rFonts w:ascii="Arial" w:hAnsi="Arial" w:cs="Arial"/>
          <w:sz w:val="18"/>
          <w:szCs w:val="18"/>
          <w:shd w:val="clear" w:color="auto" w:fill="FEFFFE"/>
        </w:rPr>
        <w:t>http://www.kosmospublishers.com/wp-content/uploads/ 2018/06/</w:t>
      </w:r>
      <w:r w:rsidRPr="003A1DB6">
        <w:rPr>
          <w:rStyle w:val="Hyperlink"/>
          <w:rFonts w:ascii="Arial" w:hAnsi="Arial" w:cs="Arial"/>
          <w:i/>
          <w:iCs/>
          <w:sz w:val="18"/>
          <w:szCs w:val="18"/>
          <w:shd w:val="clear" w:color="auto" w:fill="FEFFFE"/>
        </w:rPr>
        <w:t>JEAD-101-1.pdf</w:t>
      </w:r>
    </w:p>
    <w:p w14:paraId="007B97E7" w14:textId="77777777" w:rsidR="00E356FB" w:rsidRPr="003A1DB6" w:rsidRDefault="00E356FB" w:rsidP="00E356FB">
      <w:pPr>
        <w:pStyle w:val="Default"/>
        <w:rPr>
          <w:rStyle w:val="Hyperlink"/>
          <w:rFonts w:ascii="Arial" w:eastAsia="Arial" w:hAnsi="Arial" w:cs="Arial"/>
          <w:sz w:val="18"/>
          <w:szCs w:val="18"/>
          <w:shd w:val="clear" w:color="auto" w:fill="FEFFFE"/>
        </w:rPr>
      </w:pPr>
    </w:p>
    <w:p w14:paraId="7F553467" w14:textId="0B85B706" w:rsidR="00E356FB" w:rsidRPr="0031299C" w:rsidRDefault="00E356FB" w:rsidP="00E356FB">
      <w:pPr>
        <w:pStyle w:val="Default"/>
        <w:rPr>
          <w:rFonts w:ascii="Arial" w:hAnsi="Arial" w:cs="Arial"/>
          <w:color w:val="000000" w:themeColor="text1"/>
          <w:sz w:val="18"/>
          <w:szCs w:val="18"/>
        </w:rPr>
      </w:pPr>
      <w:r>
        <w:rPr>
          <w:rStyle w:val="Hyperlink0"/>
          <w:rFonts w:ascii="Arial" w:hAnsi="Arial" w:cs="Arial"/>
          <w:color w:val="000000" w:themeColor="text1"/>
          <w:sz w:val="18"/>
          <w:szCs w:val="18"/>
          <w:shd w:val="clear" w:color="auto" w:fill="FEFFFE"/>
        </w:rPr>
        <w:fldChar w:fldCharType="end"/>
      </w:r>
      <w:r>
        <w:rPr>
          <w:rFonts w:ascii="Arial" w:hAnsi="Arial" w:cs="Arial"/>
          <w:color w:val="000000" w:themeColor="text1"/>
          <w:sz w:val="18"/>
          <w:szCs w:val="18"/>
        </w:rPr>
        <w:t>2</w:t>
      </w:r>
      <w:r w:rsidRPr="0031299C">
        <w:rPr>
          <w:rFonts w:ascii="Arial" w:hAnsi="Arial" w:cs="Arial"/>
          <w:color w:val="000000" w:themeColor="text1"/>
          <w:sz w:val="18"/>
          <w:szCs w:val="18"/>
        </w:rPr>
        <w:t xml:space="preserve">.  Hsu, Gerald C. (2018). Using Signal Processing Techniques to Predict PPG for T2D. </w:t>
      </w:r>
      <w:r w:rsidRPr="0031299C">
        <w:rPr>
          <w:rFonts w:ascii="Arial" w:hAnsi="Arial" w:cs="Arial"/>
          <w:i/>
          <w:color w:val="000000" w:themeColor="text1"/>
          <w:sz w:val="18"/>
          <w:szCs w:val="18"/>
        </w:rPr>
        <w:t>International Journal of Diabetes &amp; Metabolic Disorders, 3</w:t>
      </w:r>
      <w:r w:rsidRPr="0031299C">
        <w:rPr>
          <w:rFonts w:ascii="Arial" w:hAnsi="Arial" w:cs="Arial"/>
          <w:color w:val="000000" w:themeColor="text1"/>
          <w:sz w:val="18"/>
          <w:szCs w:val="18"/>
        </w:rPr>
        <w:t xml:space="preserve">(2),1-3. Retrieved from </w:t>
      </w:r>
      <w:hyperlink r:id="rId8" w:history="1">
        <w:r w:rsidRPr="0031299C">
          <w:rPr>
            <w:rStyle w:val="Hyperlink"/>
            <w:rFonts w:ascii="Arial" w:hAnsi="Arial" w:cs="Arial"/>
            <w:sz w:val="18"/>
            <w:szCs w:val="18"/>
          </w:rPr>
          <w:t>https://www.opastonline.com/wp-content/uploads/2018/06/using-signal-processing-techniques-to-predict-ppg-for-t2d-ijdmd-18.pdf</w:t>
        </w:r>
      </w:hyperlink>
    </w:p>
    <w:p w14:paraId="02C85BA4" w14:textId="77777777" w:rsidR="00E356FB" w:rsidRPr="0031299C" w:rsidRDefault="00E356FB" w:rsidP="00E356FB">
      <w:pPr>
        <w:pStyle w:val="Default"/>
        <w:rPr>
          <w:rFonts w:ascii="Arial" w:hAnsi="Arial" w:cs="Arial"/>
          <w:color w:val="000000" w:themeColor="text1"/>
          <w:sz w:val="18"/>
          <w:szCs w:val="18"/>
        </w:rPr>
      </w:pPr>
    </w:p>
    <w:p w14:paraId="5B705EBF" w14:textId="255DF05B" w:rsidR="00E356FB" w:rsidRDefault="00043431" w:rsidP="00E356FB">
      <w:pPr>
        <w:pStyle w:val="Default"/>
        <w:rPr>
          <w:rStyle w:val="Hyperlink"/>
          <w:rFonts w:ascii="Arial" w:hAnsi="Arial" w:cs="Arial"/>
          <w:sz w:val="18"/>
          <w:szCs w:val="18"/>
          <w:shd w:val="clear" w:color="auto" w:fill="FEFFFE"/>
        </w:rPr>
      </w:pPr>
      <w:r>
        <w:rPr>
          <w:rFonts w:ascii="Arial" w:hAnsi="Arial" w:cs="Arial"/>
          <w:sz w:val="18"/>
          <w:szCs w:val="18"/>
          <w:shd w:val="clear" w:color="auto" w:fill="FEFFFE"/>
        </w:rPr>
        <w:t>3</w:t>
      </w:r>
      <w:r w:rsidR="00E356FB" w:rsidRPr="0031299C">
        <w:rPr>
          <w:rFonts w:ascii="Arial" w:hAnsi="Arial" w:cs="Arial"/>
          <w:sz w:val="18"/>
          <w:szCs w:val="18"/>
          <w:shd w:val="clear" w:color="auto" w:fill="FEFFFE"/>
        </w:rPr>
        <w:t xml:space="preserve">.  </w:t>
      </w:r>
      <w:r w:rsidR="00E356FB" w:rsidRPr="0031299C">
        <w:rPr>
          <w:rFonts w:ascii="Arial" w:hAnsi="Arial" w:cs="Arial"/>
          <w:color w:val="000000" w:themeColor="text1"/>
          <w:sz w:val="18"/>
          <w:szCs w:val="18"/>
        </w:rPr>
        <w:t xml:space="preserve">Hsu, Gerald C. (2018). Using Math-Physical Medicine and Artificial Intelligence Technology to Manage Lifestyle and Control Metabolic Conditions of T2D. </w:t>
      </w:r>
      <w:r w:rsidR="00E356FB" w:rsidRPr="0031299C">
        <w:rPr>
          <w:rFonts w:ascii="Arial" w:hAnsi="Arial" w:cs="Arial"/>
          <w:i/>
          <w:color w:val="000000" w:themeColor="text1"/>
          <w:sz w:val="18"/>
          <w:szCs w:val="18"/>
        </w:rPr>
        <w:t>International Journal of Diabetes &amp; Its Complications, 2</w:t>
      </w:r>
      <w:r w:rsidR="00E356FB" w:rsidRPr="0031299C">
        <w:rPr>
          <w:rFonts w:ascii="Arial" w:hAnsi="Arial" w:cs="Arial"/>
          <w:color w:val="000000" w:themeColor="text1"/>
          <w:sz w:val="18"/>
          <w:szCs w:val="18"/>
        </w:rPr>
        <w:t xml:space="preserve">(3),1-7. Retrieved from </w:t>
      </w:r>
      <w:hyperlink r:id="rId9" w:history="1">
        <w:r w:rsidR="00E356FB" w:rsidRPr="0031299C">
          <w:rPr>
            <w:rStyle w:val="Hyperlink"/>
            <w:rFonts w:ascii="Arial" w:hAnsi="Arial" w:cs="Arial"/>
            <w:sz w:val="18"/>
            <w:szCs w:val="18"/>
            <w:shd w:val="clear" w:color="auto" w:fill="FEFFFE"/>
          </w:rPr>
          <w:t>http://cmepub.com/pdfs/using-mathphysical-medicine-and-artificial-intelligence-technology-to-manage-lifestyle-and-control-metabolic-conditions-of-t2d-412.pdf</w:t>
        </w:r>
      </w:hyperlink>
    </w:p>
    <w:p w14:paraId="00EF99C3" w14:textId="77777777" w:rsidR="00E356FB" w:rsidRDefault="00E356FB" w:rsidP="00E356FB">
      <w:pPr>
        <w:pStyle w:val="Default"/>
        <w:rPr>
          <w:rFonts w:ascii="Arial" w:hAnsi="Arial" w:cs="Arial"/>
          <w:sz w:val="18"/>
          <w:szCs w:val="18"/>
          <w:shd w:val="clear" w:color="auto" w:fill="FEFFFE"/>
        </w:rPr>
      </w:pPr>
    </w:p>
    <w:p w14:paraId="02EA8631" w14:textId="21955756" w:rsidR="00E356FB" w:rsidRDefault="00043431" w:rsidP="00E356FB">
      <w:pPr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  <w:shd w:val="clear" w:color="auto" w:fill="FEFFFE"/>
        </w:rPr>
        <w:t>4</w:t>
      </w:r>
      <w:r w:rsidR="00E356FB">
        <w:rPr>
          <w:rFonts w:ascii="Arial" w:hAnsi="Arial" w:cs="Arial"/>
          <w:sz w:val="18"/>
          <w:szCs w:val="18"/>
          <w:shd w:val="clear" w:color="auto" w:fill="FEFFFE"/>
        </w:rPr>
        <w:t>.  Hsu, Gerald C. (2</w:t>
      </w:r>
      <w:r w:rsidR="00E356FB" w:rsidRPr="0031299C">
        <w:rPr>
          <w:rFonts w:ascii="Arial" w:hAnsi="Arial" w:cs="Arial"/>
          <w:sz w:val="18"/>
          <w:szCs w:val="18"/>
          <w:shd w:val="clear" w:color="auto" w:fill="FEFFFE"/>
        </w:rPr>
        <w:t xml:space="preserve">018). </w:t>
      </w:r>
      <w:hyperlink r:id="rId10" w:tgtFrame="_blank" w:history="1">
        <w:r w:rsidR="00E356FB" w:rsidRPr="0031299C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A Clinic Case of Using Math-Physical Medicine to Study the Probability of Having a Heart Attack or Stroke Based on Combination of Metabolic Conditions, Lifestyle, and Metabolism Index</w:t>
        </w:r>
      </w:hyperlink>
      <w:r w:rsidR="00E356FB">
        <w:rPr>
          <w:rFonts w:ascii="Arial" w:hAnsi="Arial" w:cs="Arial"/>
          <w:sz w:val="18"/>
          <w:szCs w:val="18"/>
        </w:rPr>
        <w:t xml:space="preserve">. </w:t>
      </w:r>
      <w:r w:rsidR="00E356FB" w:rsidRPr="0031299C">
        <w:rPr>
          <w:rFonts w:ascii="Arial" w:eastAsia="Times New Roman" w:hAnsi="Arial" w:cs="Arial"/>
          <w:i/>
          <w:color w:val="000000"/>
          <w:sz w:val="18"/>
          <w:szCs w:val="18"/>
        </w:rPr>
        <w:t>Journal of Clinical Review &amp; Case Reports</w:t>
      </w:r>
      <w:r w:rsidR="00E356FB">
        <w:rPr>
          <w:rFonts w:ascii="Arial" w:eastAsia="Times New Roman" w:hAnsi="Arial" w:cs="Arial"/>
          <w:i/>
          <w:color w:val="000000"/>
          <w:sz w:val="18"/>
          <w:szCs w:val="18"/>
        </w:rPr>
        <w:t>, 3</w:t>
      </w:r>
      <w:r w:rsidR="00E356FB">
        <w:rPr>
          <w:rFonts w:ascii="Arial" w:eastAsia="Times New Roman" w:hAnsi="Arial" w:cs="Arial"/>
          <w:color w:val="000000"/>
          <w:sz w:val="18"/>
          <w:szCs w:val="18"/>
        </w:rPr>
        <w:t xml:space="preserve">(5), 1-2. Retrieved from </w:t>
      </w:r>
      <w:hyperlink r:id="rId11" w:history="1">
        <w:r w:rsidR="00E356FB" w:rsidRPr="003A1DB6">
          <w:rPr>
            <w:rStyle w:val="Hyperlink"/>
            <w:rFonts w:ascii="Arial" w:eastAsia="Times New Roman" w:hAnsi="Arial" w:cs="Arial"/>
            <w:sz w:val="18"/>
            <w:szCs w:val="18"/>
          </w:rPr>
          <w:t>https://www.opastonline.com/wp-content/uploads/2018/07/a-clinic-case-of-using-math-physical-medicine-to-study-the-probability-of-having-a-heart-attack-or-stroke-based-on-combination-of-metabolic-conditions-lifestyle-and-metabolism-index-jcrc-2018.pdf</w:t>
        </w:r>
      </w:hyperlink>
    </w:p>
    <w:p w14:paraId="49E7A221" w14:textId="77777777" w:rsidR="0001037D" w:rsidRPr="00043431" w:rsidRDefault="0001037D">
      <w:pPr>
        <w:spacing w:line="200" w:lineRule="exact"/>
        <w:jc w:val="both"/>
        <w:rPr>
          <w:rFonts w:ascii="Arial" w:hAnsi="Arial" w:cs="Arial"/>
          <w:sz w:val="18"/>
          <w:szCs w:val="18"/>
        </w:rPr>
      </w:pPr>
    </w:p>
    <w:p w14:paraId="56439963" w14:textId="77777777" w:rsidR="0001037D" w:rsidRPr="00043431" w:rsidRDefault="0001037D" w:rsidP="0001037D">
      <w:pPr>
        <w:spacing w:line="80" w:lineRule="exact"/>
        <w:jc w:val="both"/>
        <w:rPr>
          <w:rFonts w:ascii="Arial" w:hAnsi="Arial" w:cs="Arial"/>
          <w:sz w:val="18"/>
          <w:szCs w:val="18"/>
        </w:rPr>
      </w:pPr>
    </w:p>
    <w:p w14:paraId="7A605D27" w14:textId="20CC3A2D" w:rsidR="0001037D" w:rsidRDefault="00043431">
      <w:pPr>
        <w:spacing w:line="200" w:lineRule="exact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043431">
        <w:rPr>
          <w:rFonts w:ascii="Arial" w:hAnsi="Arial" w:cs="Arial"/>
          <w:sz w:val="18"/>
          <w:szCs w:val="18"/>
        </w:rPr>
        <w:t>5.</w:t>
      </w:r>
      <w:r>
        <w:rPr>
          <w:rFonts w:ascii="Arial" w:hAnsi="Arial" w:cs="Arial"/>
          <w:sz w:val="18"/>
          <w:szCs w:val="18"/>
        </w:rPr>
        <w:t xml:space="preserve">  </w:t>
      </w:r>
      <w:r w:rsidRPr="0031299C">
        <w:rPr>
          <w:rFonts w:ascii="Arial" w:hAnsi="Arial" w:cs="Arial"/>
          <w:color w:val="000000" w:themeColor="text1"/>
          <w:sz w:val="18"/>
          <w:szCs w:val="18"/>
        </w:rPr>
        <w:t xml:space="preserve">Hsu, Gerald C. (2018). </w:t>
      </w:r>
      <w:r w:rsidRPr="00043431">
        <w:rPr>
          <w:rFonts w:ascii="Arial" w:hAnsi="Arial" w:cs="Arial"/>
          <w:color w:val="000000" w:themeColor="text1"/>
          <w:sz w:val="18"/>
          <w:szCs w:val="18"/>
        </w:rPr>
        <w:t xml:space="preserve">From Weight Management via Diabetes Control to Cardiovascular Risk Reduction </w:t>
      </w:r>
      <w:r w:rsidRPr="00043431">
        <w:rPr>
          <w:rFonts w:ascii="Arial" w:hAnsi="Arial" w:cs="Arial"/>
          <w:i/>
          <w:color w:val="000000" w:themeColor="text1"/>
          <w:sz w:val="18"/>
          <w:szCs w:val="18"/>
        </w:rPr>
        <w:t>Advances in Obesity, Weight Management &amp; Control</w:t>
      </w:r>
      <w:r w:rsidRPr="0031299C">
        <w:rPr>
          <w:rFonts w:ascii="Arial" w:hAnsi="Arial" w:cs="Arial"/>
          <w:i/>
          <w:color w:val="000000" w:themeColor="text1"/>
          <w:sz w:val="18"/>
          <w:szCs w:val="18"/>
        </w:rPr>
        <w:t xml:space="preserve">, </w:t>
      </w:r>
      <w:r>
        <w:rPr>
          <w:rFonts w:ascii="Arial" w:hAnsi="Arial" w:cs="Arial"/>
          <w:i/>
          <w:color w:val="000000" w:themeColor="text1"/>
          <w:sz w:val="18"/>
          <w:szCs w:val="18"/>
        </w:rPr>
        <w:t>8</w:t>
      </w:r>
      <w:r w:rsidRPr="0031299C">
        <w:rPr>
          <w:rFonts w:ascii="Arial" w:hAnsi="Arial" w:cs="Arial"/>
          <w:color w:val="000000" w:themeColor="text1"/>
          <w:sz w:val="18"/>
          <w:szCs w:val="18"/>
        </w:rPr>
        <w:t>(</w:t>
      </w:r>
      <w:r>
        <w:rPr>
          <w:rFonts w:ascii="Arial" w:hAnsi="Arial" w:cs="Arial"/>
          <w:color w:val="000000" w:themeColor="text1"/>
          <w:sz w:val="18"/>
          <w:szCs w:val="18"/>
        </w:rPr>
        <w:t>4</w:t>
      </w:r>
      <w:r w:rsidRPr="0031299C">
        <w:rPr>
          <w:rFonts w:ascii="Arial" w:hAnsi="Arial" w:cs="Arial"/>
          <w:color w:val="000000" w:themeColor="text1"/>
          <w:sz w:val="18"/>
          <w:szCs w:val="18"/>
        </w:rPr>
        <w:t>),1-</w:t>
      </w:r>
      <w:r>
        <w:rPr>
          <w:rFonts w:ascii="Arial" w:hAnsi="Arial" w:cs="Arial"/>
          <w:color w:val="000000" w:themeColor="text1"/>
          <w:sz w:val="18"/>
          <w:szCs w:val="18"/>
        </w:rPr>
        <w:t>4</w:t>
      </w:r>
      <w:r w:rsidRPr="0031299C">
        <w:rPr>
          <w:rFonts w:ascii="Arial" w:hAnsi="Arial" w:cs="Arial"/>
          <w:color w:val="000000" w:themeColor="text1"/>
          <w:sz w:val="18"/>
          <w:szCs w:val="18"/>
        </w:rPr>
        <w:t>. Retrieved from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hyperlink r:id="rId12" w:history="1">
        <w:r w:rsidRPr="00043431">
          <w:rPr>
            <w:rStyle w:val="Hyperlink"/>
            <w:rFonts w:ascii="Arial" w:hAnsi="Arial" w:cs="Arial"/>
            <w:sz w:val="18"/>
            <w:szCs w:val="18"/>
          </w:rPr>
          <w:t>http://medcraveonline.com/AOWMC/AOWMC-08-00249.pdf</w:t>
        </w:r>
      </w:hyperlink>
    </w:p>
    <w:p w14:paraId="55E09DD3" w14:textId="77777777" w:rsidR="00043431" w:rsidRDefault="00043431">
      <w:pPr>
        <w:spacing w:line="200" w:lineRule="exact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12BABC08" w14:textId="77777777" w:rsidR="00043431" w:rsidRPr="00043431" w:rsidRDefault="00043431">
      <w:pPr>
        <w:spacing w:line="200" w:lineRule="exact"/>
        <w:jc w:val="both"/>
        <w:rPr>
          <w:rFonts w:ascii="Arial" w:hAnsi="Arial" w:cs="Arial"/>
          <w:sz w:val="18"/>
          <w:szCs w:val="18"/>
        </w:rPr>
      </w:pPr>
    </w:p>
    <w:p w14:paraId="51BCD0DD" w14:textId="77777777" w:rsidR="0001037D" w:rsidRDefault="0001037D">
      <w:pPr>
        <w:spacing w:line="200" w:lineRule="exact"/>
        <w:jc w:val="both"/>
        <w:rPr>
          <w:rFonts w:ascii="Calibri" w:hAnsi="Calibri"/>
        </w:rPr>
      </w:pPr>
    </w:p>
    <w:p w14:paraId="11107D8A" w14:textId="77777777" w:rsidR="00E356FB" w:rsidRDefault="00E356FB">
      <w:pPr>
        <w:spacing w:line="200" w:lineRule="exact"/>
        <w:jc w:val="both"/>
        <w:rPr>
          <w:rFonts w:ascii="Calibri" w:hAnsi="Calibri"/>
        </w:rPr>
      </w:pPr>
    </w:p>
    <w:p w14:paraId="4304B064" w14:textId="77777777" w:rsidR="00E356FB" w:rsidRDefault="00E356FB">
      <w:pPr>
        <w:spacing w:line="200" w:lineRule="exact"/>
        <w:jc w:val="both"/>
        <w:rPr>
          <w:rFonts w:ascii="Calibri" w:hAnsi="Calibri"/>
        </w:rPr>
      </w:pPr>
    </w:p>
    <w:p w14:paraId="7B4A2903" w14:textId="77777777" w:rsidR="00E356FB" w:rsidRDefault="00E356FB">
      <w:pPr>
        <w:spacing w:line="200" w:lineRule="exact"/>
        <w:jc w:val="both"/>
        <w:rPr>
          <w:rFonts w:ascii="Calibri" w:hAnsi="Calibri"/>
        </w:rPr>
      </w:pPr>
    </w:p>
    <w:p w14:paraId="1332BF7F" w14:textId="77777777" w:rsidR="00E356FB" w:rsidRDefault="00E356FB">
      <w:pPr>
        <w:spacing w:line="200" w:lineRule="exact"/>
        <w:jc w:val="both"/>
        <w:rPr>
          <w:rFonts w:ascii="Calibri" w:hAnsi="Calibri"/>
        </w:rPr>
      </w:pPr>
    </w:p>
    <w:p w14:paraId="35EF22B8" w14:textId="77777777" w:rsidR="00E356FB" w:rsidRDefault="00E356FB">
      <w:pPr>
        <w:spacing w:line="200" w:lineRule="exact"/>
        <w:jc w:val="both"/>
        <w:rPr>
          <w:rFonts w:ascii="Calibri" w:hAnsi="Calibri"/>
        </w:rPr>
      </w:pPr>
    </w:p>
    <w:p w14:paraId="37CEC662" w14:textId="77777777" w:rsidR="00E356FB" w:rsidRDefault="00E356FB">
      <w:pPr>
        <w:spacing w:line="200" w:lineRule="exact"/>
        <w:jc w:val="both"/>
        <w:rPr>
          <w:rFonts w:ascii="Calibri" w:hAnsi="Calibri"/>
        </w:rPr>
      </w:pPr>
    </w:p>
    <w:p w14:paraId="061C32AC" w14:textId="77777777" w:rsidR="00E356FB" w:rsidRDefault="00E356FB">
      <w:pPr>
        <w:spacing w:line="200" w:lineRule="exact"/>
        <w:jc w:val="both"/>
        <w:rPr>
          <w:rFonts w:ascii="Calibri" w:hAnsi="Calibri"/>
        </w:rPr>
      </w:pPr>
    </w:p>
    <w:p w14:paraId="5DE29A7A" w14:textId="038450CB" w:rsidR="00E356FB" w:rsidRDefault="00E356FB">
      <w:pPr>
        <w:spacing w:line="200" w:lineRule="exact"/>
        <w:jc w:val="both"/>
        <w:rPr>
          <w:rFonts w:ascii="Calibri" w:hAnsi="Calibri"/>
        </w:rPr>
        <w:sectPr w:rsidR="00E356FB" w:rsidSect="00EA7394">
          <w:type w:val="continuous"/>
          <w:pgSz w:w="11910" w:h="16840"/>
          <w:pgMar w:top="1389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BBA7859" w14:textId="77777777" w:rsidR="00E356FB" w:rsidRDefault="00E356FB">
      <w:pPr>
        <w:pStyle w:val="BodyText"/>
        <w:spacing w:line="40" w:lineRule="exact"/>
        <w:ind w:left="2202"/>
        <w:rPr>
          <w:rFonts w:ascii="Calibri"/>
          <w:noProof/>
          <w:sz w:val="4"/>
        </w:rPr>
      </w:pPr>
    </w:p>
    <w:p w14:paraId="34B8EC9E" w14:textId="77777777" w:rsidR="00E356FB" w:rsidRDefault="00E356FB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6222F4B8" w14:textId="77777777" w:rsidR="00E356FB" w:rsidRDefault="00E356FB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6390176C" w14:textId="77777777" w:rsidR="00E356FB" w:rsidRDefault="00E356FB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132B9257" w14:textId="7213256F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659F7F1C" wp14:editId="32DC4EE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27640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25A82A2" w14:textId="77777777" w:rsidR="00A450CF" w:rsidRDefault="00A450CF" w:rsidP="00A450CF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2B8FB236" wp14:editId="42B49A68">
            <wp:extent cx="470193" cy="627170"/>
            <wp:effectExtent l="0" t="0" r="635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08" cy="638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  <w:lang w:val="en-IN" w:eastAsia="en-IN"/>
        </w:rPr>
        <w:t xml:space="preserve"> </w:t>
      </w:r>
      <w:r>
        <w:rPr>
          <w:rFonts w:ascii="Arial"/>
          <w:color w:val="BF5A14"/>
        </w:rPr>
        <w:t>Biography (150 word limit)</w:t>
      </w:r>
    </w:p>
    <w:p w14:paraId="15526961" w14:textId="77777777" w:rsidR="00A450CF" w:rsidRDefault="00A450CF" w:rsidP="00A450CF">
      <w:pPr>
        <w:pStyle w:val="Default"/>
        <w:rPr>
          <w:rFonts w:ascii="Times New Roman" w:hAnsi="Times New Roman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Gerald C. Hsu </w:t>
      </w:r>
      <w:r w:rsidRPr="00DE3714">
        <w:rPr>
          <w:rFonts w:ascii="Arial" w:hAnsi="Arial" w:cs="Arial"/>
          <w:sz w:val="14"/>
          <w:szCs w:val="14"/>
        </w:rPr>
        <w:t xml:space="preserve">received an honorable PhD in mathematics and majored in engineering at MIT. </w:t>
      </w:r>
      <w:r>
        <w:rPr>
          <w:rFonts w:ascii="Arial" w:hAnsi="Arial" w:cs="Arial"/>
          <w:sz w:val="14"/>
          <w:szCs w:val="14"/>
        </w:rPr>
        <w:t xml:space="preserve"> </w:t>
      </w:r>
      <w:r w:rsidRPr="00DE3714">
        <w:rPr>
          <w:rFonts w:ascii="Arial" w:hAnsi="Arial" w:cs="Arial"/>
          <w:sz w:val="14"/>
          <w:szCs w:val="14"/>
        </w:rPr>
        <w:t>He attended different universi</w:t>
      </w:r>
      <w:r>
        <w:rPr>
          <w:rFonts w:ascii="Arial" w:hAnsi="Arial" w:cs="Arial"/>
          <w:sz w:val="14"/>
          <w:szCs w:val="14"/>
        </w:rPr>
        <w:t>ties over 17 years and studied seven</w:t>
      </w:r>
      <w:r w:rsidRPr="00DE3714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  <w:lang w:val="pt-PT"/>
        </w:rPr>
        <w:t xml:space="preserve">academic disciplines.  </w:t>
      </w:r>
      <w:r w:rsidRPr="00DE3714">
        <w:rPr>
          <w:rFonts w:ascii="Arial" w:hAnsi="Arial" w:cs="Arial"/>
          <w:sz w:val="14"/>
          <w:szCs w:val="14"/>
        </w:rPr>
        <w:t xml:space="preserve">He has spent 20,000 hours in T2D research.  First, he studied six metabolic diseases and food nutrition during 2010-2013, then conducted research during 2014-2018. </w:t>
      </w:r>
      <w:r>
        <w:rPr>
          <w:rFonts w:ascii="Arial" w:hAnsi="Arial" w:cs="Arial"/>
          <w:sz w:val="14"/>
          <w:szCs w:val="14"/>
        </w:rPr>
        <w:t xml:space="preserve"> </w:t>
      </w:r>
      <w:r w:rsidRPr="00DE3714">
        <w:rPr>
          <w:rFonts w:ascii="Arial" w:hAnsi="Arial" w:cs="Arial"/>
          <w:sz w:val="14"/>
          <w:szCs w:val="14"/>
        </w:rPr>
        <w:t xml:space="preserve">His approach is “math-physics and quantitative medicine” based on mathematics, physics, engineering modeling, signal processing, computer science, big data analytics, statistics, machine learning, and AI.  </w:t>
      </w:r>
      <w:r w:rsidRPr="00DE3714">
        <w:rPr>
          <w:rFonts w:ascii="Arial" w:hAnsi="Arial" w:cs="Arial"/>
          <w:sz w:val="14"/>
          <w:szCs w:val="14"/>
          <w:lang w:val="fr-FR"/>
        </w:rPr>
        <w:t xml:space="preserve">His main focus is on preventive medicine using prediction tools. </w:t>
      </w:r>
      <w:r>
        <w:rPr>
          <w:rFonts w:ascii="Arial" w:hAnsi="Arial" w:cs="Arial"/>
          <w:sz w:val="14"/>
          <w:szCs w:val="14"/>
        </w:rPr>
        <w:t xml:space="preserve"> </w:t>
      </w:r>
      <w:r w:rsidRPr="00DE3714">
        <w:rPr>
          <w:rFonts w:ascii="Arial" w:hAnsi="Arial" w:cs="Arial"/>
          <w:sz w:val="14"/>
          <w:szCs w:val="14"/>
        </w:rPr>
        <w:t>He believes that the better the prediction, the more control you have.</w:t>
      </w:r>
      <w:r w:rsidRPr="00DE3714">
        <w:rPr>
          <w:rFonts w:ascii="Times New Roman" w:hAnsi="Times New Roman"/>
          <w:sz w:val="14"/>
          <w:szCs w:val="14"/>
        </w:rPr>
        <w:t xml:space="preserve"> </w:t>
      </w:r>
    </w:p>
    <w:p w14:paraId="15A170B4" w14:textId="77777777" w:rsidR="00A450CF" w:rsidRDefault="00A450CF" w:rsidP="00A450CF">
      <w:pPr>
        <w:pStyle w:val="Default"/>
        <w:rPr>
          <w:rFonts w:ascii="Times New Roman" w:eastAsia="Times New Roman" w:hAnsi="Times New Roman" w:cs="Times New Roman"/>
          <w:sz w:val="14"/>
          <w:szCs w:val="14"/>
        </w:rPr>
      </w:pPr>
    </w:p>
    <w:p w14:paraId="6D6D6149" w14:textId="77777777" w:rsidR="00A450CF" w:rsidRPr="005954B1" w:rsidRDefault="00A450CF" w:rsidP="00A450CF">
      <w:pPr>
        <w:pStyle w:val="Body"/>
        <w:rPr>
          <w:rFonts w:ascii="Times New Roman" w:eastAsia="Times New Roman" w:hAnsi="Times New Roman" w:cs="Times New Roman"/>
          <w:sz w:val="16"/>
          <w:szCs w:val="16"/>
        </w:rPr>
      </w:pPr>
      <w:r w:rsidRPr="005954B1">
        <w:rPr>
          <w:rFonts w:ascii="Times New Roman" w:hAnsi="Times New Roman"/>
          <w:sz w:val="16"/>
          <w:szCs w:val="16"/>
        </w:rPr>
        <w:t xml:space="preserve">The author has not received any financial assistance from any organization. </w:t>
      </w:r>
    </w:p>
    <w:p w14:paraId="183A1AB1" w14:textId="45B17465" w:rsidR="00A450CF" w:rsidRPr="0001037D" w:rsidRDefault="00A450CF" w:rsidP="00A450CF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 w:rsidRPr="0001037D"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14" w:history="1">
        <w:r w:rsidR="0001037D" w:rsidRPr="0001037D">
          <w:rPr>
            <w:rStyle w:val="Hyperlink"/>
            <w:rFonts w:ascii="Times New Roman" w:hAnsi="Times New Roman" w:cs="Times New Roman"/>
            <w:sz w:val="18"/>
            <w:szCs w:val="18"/>
          </w:rPr>
          <w:t>g.hsu@eclaireMD.com</w:t>
        </w:r>
      </w:hyperlink>
    </w:p>
    <w:p w14:paraId="5A263096" w14:textId="77777777" w:rsidR="0001037D" w:rsidRDefault="00A450CF" w:rsidP="0001037D">
      <w:pPr>
        <w:pStyle w:val="BodyText"/>
        <w:spacing w:before="2"/>
        <w:rPr>
          <w:rFonts w:ascii="Minion Pro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5946AFD" wp14:editId="49D9324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F9A7C" id="Line 3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7127E9A" w14:textId="0622C9E1" w:rsidR="00A450CF" w:rsidRPr="00B21A57" w:rsidRDefault="00A450CF" w:rsidP="0001037D">
      <w:pPr>
        <w:pStyle w:val="BodyText"/>
        <w:spacing w:before="2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DDED790" w14:textId="03AC72F1" w:rsidR="0001037D" w:rsidRDefault="0001037D">
      <w:pPr>
        <w:rPr>
          <w:rFonts w:ascii="Minion Pro"/>
          <w:sz w:val="24"/>
        </w:rPr>
      </w:pPr>
      <w:r>
        <w:rPr>
          <w:rFonts w:ascii="Minion Pro"/>
          <w:sz w:val="24"/>
        </w:rPr>
        <w:br w:type="page"/>
      </w:r>
    </w:p>
    <w:p w14:paraId="09C240CD" w14:textId="77777777" w:rsidR="00AE3E37" w:rsidRDefault="00AE3E37">
      <w:pPr>
        <w:rPr>
          <w:rFonts w:ascii="Minion Pro"/>
          <w:sz w:val="24"/>
        </w:rPr>
        <w:sectPr w:rsidR="00AE3E37" w:rsidSect="00EA7394">
          <w:type w:val="continuous"/>
          <w:pgSz w:w="11910" w:h="16840"/>
          <w:pgMar w:top="1389" w:right="600" w:bottom="840" w:left="620" w:header="720" w:footer="720" w:gutter="0"/>
          <w:cols w:space="720"/>
        </w:sectPr>
      </w:pPr>
    </w:p>
    <w:p w14:paraId="7900943D" w14:textId="69853E18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EA7394">
      <w:type w:val="continuous"/>
      <w:pgSz w:w="11910" w:h="16840"/>
      <w:pgMar w:top="1389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4FDAD" w14:textId="77777777" w:rsidR="007B53CE" w:rsidRDefault="007B53CE">
      <w:r>
        <w:separator/>
      </w:r>
    </w:p>
  </w:endnote>
  <w:endnote w:type="continuationSeparator" w:id="0">
    <w:p w14:paraId="19A5D853" w14:textId="77777777" w:rsidR="007B53CE" w:rsidRDefault="007B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A6841" w14:textId="77777777" w:rsidR="007B53CE" w:rsidRDefault="007B53CE">
      <w:r>
        <w:separator/>
      </w:r>
    </w:p>
  </w:footnote>
  <w:footnote w:type="continuationSeparator" w:id="0">
    <w:p w14:paraId="1F2C725C" w14:textId="77777777" w:rsidR="007B53CE" w:rsidRDefault="007B5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037D"/>
    <w:rsid w:val="00043431"/>
    <w:rsid w:val="00076615"/>
    <w:rsid w:val="000D237A"/>
    <w:rsid w:val="000E2911"/>
    <w:rsid w:val="001263DF"/>
    <w:rsid w:val="00292ED9"/>
    <w:rsid w:val="00404E5B"/>
    <w:rsid w:val="00414F7B"/>
    <w:rsid w:val="004355DC"/>
    <w:rsid w:val="004416DE"/>
    <w:rsid w:val="004749B4"/>
    <w:rsid w:val="00475785"/>
    <w:rsid w:val="00494130"/>
    <w:rsid w:val="004F3523"/>
    <w:rsid w:val="00583E47"/>
    <w:rsid w:val="005973B9"/>
    <w:rsid w:val="005B3A56"/>
    <w:rsid w:val="005C7D9D"/>
    <w:rsid w:val="006060CE"/>
    <w:rsid w:val="0062217D"/>
    <w:rsid w:val="0063497F"/>
    <w:rsid w:val="00704B41"/>
    <w:rsid w:val="007215FE"/>
    <w:rsid w:val="007B53CE"/>
    <w:rsid w:val="00873DF0"/>
    <w:rsid w:val="008756E6"/>
    <w:rsid w:val="008903A8"/>
    <w:rsid w:val="009B2D44"/>
    <w:rsid w:val="00A07E82"/>
    <w:rsid w:val="00A450CF"/>
    <w:rsid w:val="00A47AAE"/>
    <w:rsid w:val="00A9710C"/>
    <w:rsid w:val="00AE3E37"/>
    <w:rsid w:val="00B21A57"/>
    <w:rsid w:val="00C33602"/>
    <w:rsid w:val="00CA1F65"/>
    <w:rsid w:val="00CD6F55"/>
    <w:rsid w:val="00CF1DD7"/>
    <w:rsid w:val="00DE3104"/>
    <w:rsid w:val="00E02520"/>
    <w:rsid w:val="00E356FB"/>
    <w:rsid w:val="00EA7394"/>
    <w:rsid w:val="00F72EEA"/>
    <w:rsid w:val="00F84CAE"/>
    <w:rsid w:val="00FA1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959CC"/>
  <w15:docId w15:val="{305AFB67-F97B-4CA6-8EBF-FB443D85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A450CF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</w:rPr>
  </w:style>
  <w:style w:type="paragraph" w:customStyle="1" w:styleId="Body">
    <w:name w:val="Body"/>
    <w:rsid w:val="00A450CF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bdr w:val="nil"/>
    </w:rPr>
  </w:style>
  <w:style w:type="character" w:customStyle="1" w:styleId="Hyperlink0">
    <w:name w:val="Hyperlink.0"/>
    <w:basedOn w:val="DefaultParagraphFont"/>
    <w:rsid w:val="00E356FB"/>
    <w:rPr>
      <w:u w:val="single" w:color="0000FE"/>
    </w:rPr>
  </w:style>
  <w:style w:type="character" w:styleId="UnresolvedMention">
    <w:name w:val="Unresolved Mention"/>
    <w:basedOn w:val="DefaultParagraphFont"/>
    <w:uiPriority w:val="99"/>
    <w:semiHidden/>
    <w:unhideWhenUsed/>
    <w:rsid w:val="00043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3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astonline.com/wp-content/uploads/2018/06/using-signal-processing-techniques-to-predict-ppg-for-t2d-ijdmd-18.pdf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medcraveonline.com/AOWMC/AOWMC-08-00249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pastonline.com/wp-content/uploads/2018/07/a-clinic-case-of-using-math-physical-medicine-to-study-the-probability-of-having-a-heart-attack-or-stroke-based-on-combination-of-metabolic-conditions-lifestyle-and-metabolism-index-jcrc-2018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opastonline.com/wp-content/uploads/2018/07/a-clinic-case-of-using-math-physical-medicine-to-study-the-probability-of-having-a-heart-attack-or-stroke-based-on-combination-of-metabolic-conditions-lifestyle-and-metabolism-index-jcrc-201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mepub.com/pdfs/using-mathphysical-medicine-and-artificial-intelligence-technology-to-manage-lifestyle-and-control-metabolic-conditions-of-t2d-412.pdf" TargetMode="External"/><Relationship Id="rId14" Type="http://schemas.openxmlformats.org/officeDocument/2006/relationships/hyperlink" Target="mailto:g.hsu@eclaireM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Janet Kwan</cp:lastModifiedBy>
  <cp:revision>2</cp:revision>
  <dcterms:created xsi:type="dcterms:W3CDTF">2018-08-13T07:59:00Z</dcterms:created>
  <dcterms:modified xsi:type="dcterms:W3CDTF">2018-08-13T07:59:00Z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