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093A3" w14:textId="2EDF142D" w:rsidR="00AE3E37" w:rsidRDefault="002A279B" w:rsidP="000534A1">
      <w:pPr>
        <w:pStyle w:val="Heading1"/>
        <w:spacing w:before="170"/>
        <w:ind w:left="0"/>
        <w:jc w:val="both"/>
      </w:pPr>
      <w:r w:rsidRPr="00145817">
        <w:rPr>
          <w:i/>
          <w:iCs/>
          <w:color w:val="337AB7"/>
        </w:rPr>
        <w:t>Dalbergia parviflora</w:t>
      </w:r>
      <w:r>
        <w:rPr>
          <w:color w:val="337AB7"/>
        </w:rPr>
        <w:t xml:space="preserve"> extracts mediate tyrosinase expression and melanogenesis</w:t>
      </w:r>
      <w:r w:rsidR="00145817">
        <w:rPr>
          <w:color w:val="337AB7"/>
        </w:rPr>
        <w:t xml:space="preserve"> in mouse B16F10 and human MNT1 melanoma cells </w:t>
      </w:r>
    </w:p>
    <w:p w14:paraId="7177FA96" w14:textId="545F863D" w:rsidR="008E7292" w:rsidRDefault="00145817" w:rsidP="008E7292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Ponsawan Netcharoensirisuk</w:t>
      </w:r>
      <w:r w:rsidR="005973B9">
        <w:rPr>
          <w:rFonts w:ascii="Arial"/>
        </w:rPr>
        <w:t>,</w:t>
      </w:r>
      <w:r w:rsidR="008E7292">
        <w:rPr>
          <w:rFonts w:ascii="Arial"/>
        </w:rPr>
        <w:t xml:space="preserve"> </w:t>
      </w:r>
      <w:r w:rsidR="005C1105">
        <w:rPr>
          <w:rFonts w:ascii="Arial" w:cstheme="minorBidi"/>
          <w:szCs w:val="22"/>
          <w:lang w:bidi="th-TH"/>
        </w:rPr>
        <w:t xml:space="preserve">Chatchai </w:t>
      </w:r>
      <w:proofErr w:type="spellStart"/>
      <w:r w:rsidR="005C1105" w:rsidRPr="008E7292">
        <w:rPr>
          <w:rFonts w:ascii="Arial" w:cstheme="minorBidi"/>
          <w:szCs w:val="22"/>
          <w:lang w:bidi="th-TH"/>
        </w:rPr>
        <w:t>Chaotham</w:t>
      </w:r>
      <w:proofErr w:type="spellEnd"/>
      <w:r w:rsidR="005C1105">
        <w:rPr>
          <w:rFonts w:ascii="Arial" w:cstheme="minorBidi"/>
          <w:szCs w:val="22"/>
          <w:lang w:bidi="th-TH"/>
        </w:rPr>
        <w:t xml:space="preserve">, </w:t>
      </w:r>
      <w:proofErr w:type="spellStart"/>
      <w:r w:rsidR="008E7292">
        <w:rPr>
          <w:rFonts w:ascii="Arial" w:cstheme="minorBidi"/>
          <w:szCs w:val="22"/>
          <w:lang w:bidi="th-TH"/>
        </w:rPr>
        <w:t>Wanchai</w:t>
      </w:r>
      <w:proofErr w:type="spellEnd"/>
      <w:r w:rsidR="008E7292">
        <w:rPr>
          <w:rFonts w:ascii="Arial" w:cstheme="minorBidi"/>
          <w:szCs w:val="22"/>
          <w:lang w:bidi="th-TH"/>
        </w:rPr>
        <w:t xml:space="preserve"> De-</w:t>
      </w:r>
      <w:proofErr w:type="spellStart"/>
      <w:r w:rsidR="008E7292">
        <w:rPr>
          <w:rFonts w:ascii="Arial" w:cstheme="minorBidi"/>
          <w:szCs w:val="22"/>
          <w:lang w:bidi="th-TH"/>
        </w:rPr>
        <w:t>Eknamkul</w:t>
      </w:r>
      <w:proofErr w:type="spellEnd"/>
      <w:r w:rsidR="008E7292">
        <w:rPr>
          <w:rFonts w:ascii="Arial" w:cstheme="minorBidi"/>
          <w:szCs w:val="22"/>
          <w:lang w:bidi="th-TH"/>
        </w:rPr>
        <w:t>,</w:t>
      </w:r>
    </w:p>
    <w:p w14:paraId="71D41BB8" w14:textId="0BAD87F5" w:rsidR="008E7292" w:rsidRDefault="001C0D32" w:rsidP="008E7292">
      <w:pPr>
        <w:pStyle w:val="BodyText"/>
        <w:spacing w:before="73" w:line="198" w:lineRule="exact"/>
        <w:ind w:left="100" w:right="5987"/>
        <w:rPr>
          <w:rFonts w:ascii="Arial"/>
        </w:rPr>
      </w:pPr>
      <w:r w:rsidRPr="001C0D32">
        <w:rPr>
          <w:rFonts w:ascii="Arial"/>
        </w:rPr>
        <w:t xml:space="preserve">Program in </w:t>
      </w:r>
      <w:proofErr w:type="spellStart"/>
      <w:r w:rsidRPr="001C0D32">
        <w:rPr>
          <w:rFonts w:ascii="Arial"/>
        </w:rPr>
        <w:t>Biomedicinal</w:t>
      </w:r>
      <w:proofErr w:type="spellEnd"/>
      <w:r w:rsidRPr="001C0D32">
        <w:rPr>
          <w:rFonts w:ascii="Arial"/>
        </w:rPr>
        <w:t xml:space="preserve"> Chemistry</w:t>
      </w:r>
      <w:r>
        <w:rPr>
          <w:rFonts w:ascii="Arial"/>
        </w:rPr>
        <w:t xml:space="preserve">, </w:t>
      </w:r>
      <w:r w:rsidR="008E7292" w:rsidRPr="008E7292">
        <w:rPr>
          <w:rFonts w:ascii="Arial"/>
        </w:rPr>
        <w:t>Faculty of Pharmaceutical Sciences, Chulalongkorn University,</w:t>
      </w:r>
      <w:r w:rsidR="008E7292">
        <w:rPr>
          <w:rFonts w:ascii="Arial" w:cstheme="minorBidi" w:hint="cs"/>
          <w:szCs w:val="22"/>
          <w:cs/>
          <w:lang w:bidi="th-TH"/>
        </w:rPr>
        <w:t xml:space="preserve"> </w:t>
      </w:r>
      <w:r w:rsidR="008E7292" w:rsidRPr="008E7292">
        <w:rPr>
          <w:rFonts w:ascii="Arial"/>
        </w:rPr>
        <w:t>Bangkok,</w:t>
      </w:r>
      <w:r w:rsidR="008E7292">
        <w:rPr>
          <w:rFonts w:ascii="Arial"/>
        </w:rPr>
        <w:t xml:space="preserve"> </w:t>
      </w:r>
      <w:r w:rsidR="008E7292" w:rsidRPr="008E7292">
        <w:rPr>
          <w:rFonts w:ascii="Arial"/>
        </w:rPr>
        <w:t>Thailand</w:t>
      </w:r>
    </w:p>
    <w:p w14:paraId="5BFBC7AB" w14:textId="3E34CBC7" w:rsidR="00AE3E37" w:rsidRDefault="00AE3E37">
      <w:pPr>
        <w:pStyle w:val="BodyText"/>
        <w:rPr>
          <w:rFonts w:ascii="Arial"/>
          <w:sz w:val="20"/>
        </w:rPr>
      </w:pPr>
    </w:p>
    <w:p w14:paraId="6527CAA7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42965936" w14:textId="70E870A1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3B3E13D1" w14:textId="43645A5C" w:rsidR="00AE3E37" w:rsidRDefault="008E7292" w:rsidP="00774F7B">
      <w:pPr>
        <w:pStyle w:val="Heading3"/>
        <w:spacing w:before="74"/>
        <w:jc w:val="thaiDistribute"/>
      </w:pPr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Hypopigmentation is a condition of low melanin production </w:t>
      </w:r>
      <w:r w:rsidR="00EC62FC"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>occurring</w:t>
      </w:r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eye, </w:t>
      </w:r>
      <w:proofErr w:type="gramStart"/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>skin</w:t>
      </w:r>
      <w:proofErr w:type="gramEnd"/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hair.  Until now, there has been no recommended remedies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with high efficacy and human safety profile for hypopigmentation treatment. The flavonoid containing extracts from </w:t>
      </w:r>
      <w:r w:rsidRPr="008E7292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Dalbergia parviflora</w:t>
      </w:r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shown to stimulate melanin production in B16F10 mouse melanoma cells. However, the regulatory mechanisms of the extracts on melanogenesis </w:t>
      </w:r>
      <w:proofErr w:type="gramStart"/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>has</w:t>
      </w:r>
      <w:proofErr w:type="gramEnd"/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not been thoroughly investigated. Here in, the inducing effect of </w:t>
      </w:r>
      <w:r w:rsidRPr="008E7292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D. parviflora</w:t>
      </w:r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extracts on the expression level of tyrosinase in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mouse </w:t>
      </w:r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>B16F10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&amp; human MNT1</w:t>
      </w:r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>melanoma cells was firstly revealed. The cells were treated with 0-</w:t>
      </w:r>
      <w:r w:rsidR="00EC62FC">
        <w:rPr>
          <w:rFonts w:ascii="Tw Cen MT" w:eastAsia="Tw Cen MT" w:hAnsi="Tw Cen MT" w:cs="Tw Cen MT"/>
          <w:b w:val="0"/>
          <w:bCs w:val="0"/>
          <w:sz w:val="18"/>
          <w:szCs w:val="18"/>
        </w:rPr>
        <w:t>5</w:t>
      </w:r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0 µg/ml of </w:t>
      </w:r>
      <w:r w:rsidRPr="00EC62FC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D. parviflora</w:t>
      </w:r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extracts for 24-72 h for evaluation of cytotoxicity, mode of cell death and proliferative effect. Melanin production and tyrosinase activity were observed at non-toxic concentration of </w:t>
      </w:r>
      <w:r w:rsidRPr="00EC62FC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D. parviflora</w:t>
      </w:r>
      <w:r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extracts. Determination of mRNA and expression level of melanin regulating proteins were performed by real-time RT-PCR and western blotting, respectively. </w:t>
      </w:r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Tyrosinase activity and melanin content were significantly increased in </w:t>
      </w:r>
      <w:r w:rsid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both </w:t>
      </w:r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>B16F10</w:t>
      </w:r>
      <w:r w:rsid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&amp; MNT1</w:t>
      </w:r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cells treated with </w:t>
      </w:r>
      <w:r w:rsidR="00EC62FC" w:rsidRPr="00EC62FC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D. parviflora</w:t>
      </w:r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at 0.1-10 µg/ml for 72 h. Despite of the </w:t>
      </w:r>
      <w:proofErr w:type="gramStart"/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>up-regulation</w:t>
      </w:r>
      <w:proofErr w:type="gramEnd"/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tyrosinase mRNA at 48 h</w:t>
      </w:r>
      <w:r w:rsidR="007E0D7E">
        <w:rPr>
          <w:rFonts w:ascii="Tw Cen MT" w:eastAsia="Tw Cen MT" w:hAnsi="Tw Cen MT" w:cstheme="minorBidi" w:hint="cs"/>
          <w:b w:val="0"/>
          <w:bCs w:val="0"/>
          <w:sz w:val="18"/>
          <w:szCs w:val="22"/>
          <w:cs/>
          <w:lang w:bidi="th-TH"/>
        </w:rPr>
        <w:t xml:space="preserve"> </w:t>
      </w:r>
      <w:r w:rsidR="007E0D7E">
        <w:rPr>
          <w:rFonts w:ascii="Tw Cen MT" w:eastAsia="Tw Cen MT" w:hAnsi="Tw Cen MT" w:cstheme="minorBidi"/>
          <w:b w:val="0"/>
          <w:bCs w:val="0"/>
          <w:sz w:val="18"/>
          <w:szCs w:val="22"/>
          <w:lang w:bidi="th-TH"/>
        </w:rPr>
        <w:t>in mouse B16F10 cells</w:t>
      </w:r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there was no alteration on mRNA of MITF, a transcription factor mediating tyrosinase expression in melanoma cells after incubation with 10 µg/ml of the extracts for 24-72 h. Interestingly, </w:t>
      </w:r>
      <w:r w:rsidR="007E0D7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mouse cells </w:t>
      </w:r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translocation of MITF from cytoplasm into nuclease were presented </w:t>
      </w:r>
      <w:r w:rsidR="007E0D7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</w:t>
      </w:r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early at 24 h of </w:t>
      </w:r>
      <w:r w:rsidR="00EC62FC" w:rsidRPr="007E0D7E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D. parviflora</w:t>
      </w:r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extracts treatment.</w:t>
      </w:r>
      <w:r w:rsid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These results indicated that </w:t>
      </w:r>
      <w:r w:rsidR="00EC62FC" w:rsidRPr="00EC62FC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D.</w:t>
      </w:r>
      <w:r w:rsidR="007E0D7E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 xml:space="preserve"> </w:t>
      </w:r>
      <w:r w:rsidR="00EC62FC" w:rsidRPr="00EC62FC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parviflora</w:t>
      </w:r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extracts stimulated the melanin production and </w:t>
      </w:r>
      <w:proofErr w:type="gramStart"/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>up-regulated</w:t>
      </w:r>
      <w:proofErr w:type="gramEnd"/>
      <w:r w:rsidR="00EC62FC" w:rsidRPr="00EC62F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tyrosinase expression through modulation on MITF translocation in melanin generating cells. </w:t>
      </w:r>
      <w:r w:rsidR="007E0D7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information obtained from this study </w:t>
      </w:r>
      <w:r w:rsidR="007E0D7E" w:rsidRPr="007E0D7E">
        <w:rPr>
          <w:rFonts w:ascii="Tw Cen MT" w:eastAsia="Tw Cen MT" w:hAnsi="Tw Cen MT" w:cs="Tw Cen MT"/>
          <w:b w:val="0"/>
          <w:bCs w:val="0"/>
          <w:sz w:val="18"/>
          <w:szCs w:val="18"/>
        </w:rPr>
        <w:t>strengthen</w:t>
      </w:r>
      <w:r w:rsidR="007E0D7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potential development</w:t>
      </w:r>
      <w:r w:rsidR="00774F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</w:t>
      </w:r>
      <w:r w:rsidR="00774F7B" w:rsidRPr="008E7292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D. parviflora</w:t>
      </w:r>
      <w:r w:rsidR="00774F7B" w:rsidRPr="008E72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74F7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extracts as an effective treatment with high human safety for hypopigmented disorders.  </w:t>
      </w:r>
      <w:r w:rsidR="00A9710C">
        <w:rPr>
          <w:b w:val="0"/>
        </w:rPr>
        <w:br w:type="column"/>
      </w:r>
    </w:p>
    <w:p w14:paraId="59F28880" w14:textId="3A19491E" w:rsidR="001C0D32" w:rsidRPr="001C0D32" w:rsidRDefault="001C0D32" w:rsidP="001C0D32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7BD7F679" wp14:editId="77BC548E">
            <wp:extent cx="3086100" cy="24422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178" cy="244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3F92C" w14:textId="77777777" w:rsidR="001C0D32" w:rsidRDefault="001C0D3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B61D1A4" w14:textId="5AB035F2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6FBF0BB2" w14:textId="76EEBBE0" w:rsidR="00157DAB" w:rsidRPr="00157DAB" w:rsidRDefault="00157DAB" w:rsidP="00157DAB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157DAB">
        <w:rPr>
          <w:rFonts w:ascii="Calibri" w:eastAsia="Calibri" w:hAnsi="Calibri" w:cs="Calibri"/>
          <w:b/>
          <w:bCs/>
          <w:sz w:val="18"/>
        </w:rPr>
        <w:t xml:space="preserve">1. </w:t>
      </w:r>
      <w:r w:rsidRPr="00157DAB">
        <w:rPr>
          <w:rFonts w:ascii="Calibri" w:eastAsia="Calibri" w:hAnsi="Calibri" w:cs="Calibri"/>
          <w:b/>
          <w:bCs/>
          <w:sz w:val="18"/>
        </w:rPr>
        <w:t>Netcharoensirisuk P</w:t>
      </w:r>
      <w:r w:rsidRPr="00157DAB">
        <w:rPr>
          <w:rFonts w:ascii="Calibri" w:eastAsia="Calibri" w:hAnsi="Calibri" w:cs="Calibri"/>
          <w:sz w:val="18"/>
        </w:rPr>
        <w:t xml:space="preserve">, Abrahamian C, Tang R, Chen C.C, </w:t>
      </w:r>
      <w:proofErr w:type="spellStart"/>
      <w:r w:rsidRPr="00157DAB">
        <w:rPr>
          <w:rFonts w:ascii="Calibri" w:eastAsia="Calibri" w:hAnsi="Calibri" w:cs="Calibri"/>
          <w:sz w:val="18"/>
        </w:rPr>
        <w:t>Rosato</w:t>
      </w:r>
      <w:proofErr w:type="spellEnd"/>
      <w:r w:rsidRPr="00157DAB">
        <w:rPr>
          <w:rFonts w:ascii="Calibri" w:eastAsia="Calibri" w:hAnsi="Calibri" w:cs="Calibri"/>
          <w:sz w:val="18"/>
        </w:rPr>
        <w:t xml:space="preserve"> A.S, Beyers W, Chao Y.K, </w:t>
      </w:r>
      <w:proofErr w:type="spellStart"/>
      <w:r w:rsidRPr="00157DAB">
        <w:rPr>
          <w:rFonts w:ascii="Calibri" w:eastAsia="Calibri" w:hAnsi="Calibri" w:cs="Calibri"/>
          <w:sz w:val="18"/>
        </w:rPr>
        <w:t>Filippini</w:t>
      </w:r>
      <w:proofErr w:type="spellEnd"/>
      <w:r w:rsidRPr="00157DAB">
        <w:rPr>
          <w:rFonts w:ascii="Calibri" w:eastAsia="Calibri" w:hAnsi="Calibri" w:cs="Calibri"/>
          <w:sz w:val="18"/>
        </w:rPr>
        <w:t xml:space="preserve"> A, Di Pietro S, </w:t>
      </w:r>
      <w:proofErr w:type="spellStart"/>
      <w:r w:rsidRPr="00157DAB">
        <w:rPr>
          <w:rFonts w:ascii="Calibri" w:eastAsia="Calibri" w:hAnsi="Calibri" w:cs="Calibri"/>
          <w:sz w:val="18"/>
        </w:rPr>
        <w:t>Bartel</w:t>
      </w:r>
      <w:proofErr w:type="spellEnd"/>
      <w:r w:rsidRPr="00157DAB">
        <w:rPr>
          <w:rFonts w:ascii="Calibri" w:eastAsia="Calibri" w:hAnsi="Calibri" w:cs="Calibri"/>
          <w:sz w:val="18"/>
        </w:rPr>
        <w:t xml:space="preserve"> K, Biel M, </w:t>
      </w:r>
      <w:proofErr w:type="spellStart"/>
      <w:r w:rsidRPr="00157DAB">
        <w:rPr>
          <w:rFonts w:ascii="Calibri" w:eastAsia="Calibri" w:hAnsi="Calibri" w:cs="Calibri"/>
          <w:sz w:val="18"/>
        </w:rPr>
        <w:t>Vollmar</w:t>
      </w:r>
      <w:proofErr w:type="spellEnd"/>
      <w:r w:rsidRPr="00157DAB">
        <w:rPr>
          <w:rFonts w:ascii="Calibri" w:eastAsia="Calibri" w:hAnsi="Calibri" w:cs="Calibri"/>
          <w:sz w:val="18"/>
        </w:rPr>
        <w:t xml:space="preserve"> A.M, </w:t>
      </w:r>
      <w:proofErr w:type="spellStart"/>
      <w:r w:rsidRPr="00157DAB">
        <w:rPr>
          <w:rFonts w:ascii="Calibri" w:eastAsia="Calibri" w:hAnsi="Calibri" w:cs="Calibri"/>
          <w:sz w:val="18"/>
        </w:rPr>
        <w:t>Umehara</w:t>
      </w:r>
      <w:proofErr w:type="spellEnd"/>
      <w:r w:rsidRPr="00157DAB">
        <w:rPr>
          <w:rFonts w:ascii="Calibri" w:eastAsia="Calibri" w:hAnsi="Calibri" w:cs="Calibri"/>
          <w:sz w:val="18"/>
        </w:rPr>
        <w:t xml:space="preserve"> K, De-</w:t>
      </w:r>
      <w:proofErr w:type="spellStart"/>
      <w:r w:rsidRPr="00157DAB">
        <w:rPr>
          <w:rFonts w:ascii="Calibri" w:eastAsia="Calibri" w:hAnsi="Calibri" w:cs="Calibri"/>
          <w:sz w:val="18"/>
        </w:rPr>
        <w:t>Eknamkul</w:t>
      </w:r>
      <w:proofErr w:type="spellEnd"/>
      <w:r w:rsidRPr="00157DAB">
        <w:rPr>
          <w:rFonts w:ascii="Calibri" w:eastAsia="Calibri" w:hAnsi="Calibri" w:cs="Calibri"/>
          <w:sz w:val="18"/>
        </w:rPr>
        <w:t xml:space="preserve"> W, Grimm C. 2021. Flavonoids increase melanin production and reduce proliferation, </w:t>
      </w:r>
      <w:proofErr w:type="gramStart"/>
      <w:r w:rsidRPr="00157DAB">
        <w:rPr>
          <w:rFonts w:ascii="Calibri" w:eastAsia="Calibri" w:hAnsi="Calibri" w:cs="Calibri"/>
          <w:sz w:val="18"/>
        </w:rPr>
        <w:t>migration</w:t>
      </w:r>
      <w:proofErr w:type="gramEnd"/>
      <w:r w:rsidRPr="00157DAB">
        <w:rPr>
          <w:rFonts w:ascii="Calibri" w:eastAsia="Calibri" w:hAnsi="Calibri" w:cs="Calibri"/>
          <w:sz w:val="18"/>
        </w:rPr>
        <w:t xml:space="preserve"> and invasion of melanoma cells by blocking </w:t>
      </w:r>
      <w:proofErr w:type="spellStart"/>
      <w:r w:rsidRPr="00157DAB">
        <w:rPr>
          <w:rFonts w:ascii="Calibri" w:eastAsia="Calibri" w:hAnsi="Calibri" w:cs="Calibri"/>
          <w:sz w:val="18"/>
        </w:rPr>
        <w:t>endolysosomal</w:t>
      </w:r>
      <w:proofErr w:type="spellEnd"/>
      <w:r w:rsidRPr="00157DAB">
        <w:rPr>
          <w:rFonts w:ascii="Calibri" w:eastAsia="Calibri" w:hAnsi="Calibri" w:cs="Calibri"/>
          <w:sz w:val="18"/>
        </w:rPr>
        <w:t>/</w:t>
      </w:r>
      <w:proofErr w:type="spellStart"/>
      <w:r w:rsidRPr="00157DAB">
        <w:rPr>
          <w:rFonts w:ascii="Calibri" w:eastAsia="Calibri" w:hAnsi="Calibri" w:cs="Calibri"/>
          <w:sz w:val="18"/>
        </w:rPr>
        <w:t>melanosomal</w:t>
      </w:r>
      <w:proofErr w:type="spellEnd"/>
      <w:r w:rsidRPr="00157DAB">
        <w:rPr>
          <w:rFonts w:ascii="Calibri" w:eastAsia="Calibri" w:hAnsi="Calibri" w:cs="Calibri"/>
          <w:sz w:val="18"/>
        </w:rPr>
        <w:t xml:space="preserve"> TPC2. Scientific Reports. 11(1): 8515-8529.</w:t>
      </w:r>
    </w:p>
    <w:p w14:paraId="0F308ECC" w14:textId="41103093" w:rsidR="00157DAB" w:rsidRPr="00157DAB" w:rsidRDefault="00157DAB" w:rsidP="00157DAB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157DAB">
        <w:rPr>
          <w:rFonts w:ascii="Calibri" w:eastAsia="Calibri" w:hAnsi="Calibri" w:cs="Calibri"/>
          <w:b/>
          <w:bCs/>
          <w:sz w:val="18"/>
        </w:rPr>
        <w:t xml:space="preserve">2. </w:t>
      </w:r>
      <w:r w:rsidRPr="00157DAB">
        <w:rPr>
          <w:rFonts w:ascii="Calibri" w:eastAsia="Calibri" w:hAnsi="Calibri" w:cs="Calibri"/>
          <w:b/>
          <w:bCs/>
          <w:sz w:val="18"/>
        </w:rPr>
        <w:t>Netcharoensirisuk</w:t>
      </w:r>
      <w:r w:rsidRPr="00157DAB">
        <w:rPr>
          <w:rFonts w:ascii="Calibri" w:eastAsia="Calibri" w:hAnsi="Calibri" w:cs="Calibri"/>
          <w:sz w:val="18"/>
        </w:rPr>
        <w:t xml:space="preserve"> P, </w:t>
      </w:r>
      <w:proofErr w:type="spellStart"/>
      <w:r w:rsidRPr="00157DAB">
        <w:rPr>
          <w:rFonts w:ascii="Calibri" w:eastAsia="Calibri" w:hAnsi="Calibri" w:cs="Calibri"/>
          <w:sz w:val="18"/>
        </w:rPr>
        <w:t>Umehara</w:t>
      </w:r>
      <w:proofErr w:type="spellEnd"/>
      <w:r w:rsidRPr="00157DAB">
        <w:rPr>
          <w:rFonts w:ascii="Calibri" w:eastAsia="Calibri" w:hAnsi="Calibri" w:cs="Calibri"/>
          <w:sz w:val="18"/>
        </w:rPr>
        <w:t xml:space="preserve"> K, De-</w:t>
      </w:r>
      <w:proofErr w:type="spellStart"/>
      <w:r w:rsidRPr="00157DAB">
        <w:rPr>
          <w:rFonts w:ascii="Calibri" w:eastAsia="Calibri" w:hAnsi="Calibri" w:cs="Calibri"/>
          <w:sz w:val="18"/>
        </w:rPr>
        <w:t>Eknamkul</w:t>
      </w:r>
      <w:proofErr w:type="spellEnd"/>
      <w:r w:rsidRPr="00157DAB">
        <w:rPr>
          <w:rFonts w:ascii="Calibri" w:eastAsia="Calibri" w:hAnsi="Calibri" w:cs="Calibri"/>
          <w:sz w:val="18"/>
        </w:rPr>
        <w:t xml:space="preserve"> W, </w:t>
      </w:r>
      <w:proofErr w:type="spellStart"/>
      <w:r w:rsidRPr="00157DAB">
        <w:rPr>
          <w:rFonts w:ascii="Calibri" w:eastAsia="Calibri" w:hAnsi="Calibri" w:cs="Calibri"/>
          <w:sz w:val="18"/>
        </w:rPr>
        <w:t>Chaotham</w:t>
      </w:r>
      <w:proofErr w:type="spellEnd"/>
      <w:r w:rsidRPr="00157DAB">
        <w:rPr>
          <w:rFonts w:ascii="Calibri" w:eastAsia="Calibri" w:hAnsi="Calibri" w:cs="Calibri"/>
          <w:sz w:val="18"/>
        </w:rPr>
        <w:t xml:space="preserve"> C. 2021. </w:t>
      </w:r>
      <w:proofErr w:type="spellStart"/>
      <w:r w:rsidRPr="00157DAB">
        <w:rPr>
          <w:rFonts w:ascii="Calibri" w:eastAsia="Calibri" w:hAnsi="Calibri" w:cs="Calibri"/>
          <w:sz w:val="18"/>
        </w:rPr>
        <w:t>Cajanin</w:t>
      </w:r>
      <w:proofErr w:type="spellEnd"/>
      <w:r w:rsidRPr="00157DAB">
        <w:rPr>
          <w:rFonts w:ascii="Calibri" w:eastAsia="Calibri" w:hAnsi="Calibri" w:cs="Calibri"/>
          <w:sz w:val="18"/>
        </w:rPr>
        <w:t xml:space="preserve"> Suppresses Melanin Synthesis through Modulating MITF in Human Melanin-Producing Cells. Molecules. 26(19):6040-6055.</w:t>
      </w:r>
    </w:p>
    <w:p w14:paraId="54E2E793" w14:textId="3AE576E5" w:rsidR="00157DAB" w:rsidRPr="00157DAB" w:rsidRDefault="001C0D32" w:rsidP="00157DAB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1C0D32">
        <w:rPr>
          <w:noProof/>
        </w:rPr>
        <w:drawing>
          <wp:anchor distT="0" distB="0" distL="114300" distR="114300" simplePos="0" relativeHeight="251622912" behindDoc="0" locked="0" layoutInCell="1" allowOverlap="1" wp14:anchorId="46A99C85" wp14:editId="21D18760">
            <wp:simplePos x="0" y="0"/>
            <wp:positionH relativeFrom="column">
              <wp:posOffset>-1871980</wp:posOffset>
            </wp:positionH>
            <wp:positionV relativeFrom="paragraph">
              <wp:posOffset>5661432</wp:posOffset>
            </wp:positionV>
            <wp:extent cx="1463341" cy="1054328"/>
            <wp:effectExtent l="0" t="0" r="3810" b="0"/>
            <wp:wrapNone/>
            <wp:docPr id="17" name="Picture 16" descr="A picture containing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94834B8-D175-4113-80B0-EB65D44C0F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A picture containing text&#10;&#10;Description automatically generated">
                      <a:extLst>
                        <a:ext uri="{FF2B5EF4-FFF2-40B4-BE49-F238E27FC236}">
                          <a16:creationId xmlns:a16="http://schemas.microsoft.com/office/drawing/2014/main" id="{E94834B8-D175-4113-80B0-EB65D44C0F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527" cy="1055903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DAB" w:rsidRPr="00157DAB">
        <w:rPr>
          <w:rFonts w:ascii="Calibri" w:eastAsia="Calibri" w:hAnsi="Calibri" w:cs="Calibri"/>
          <w:b/>
          <w:bCs/>
          <w:sz w:val="18"/>
        </w:rPr>
        <w:t xml:space="preserve">3. </w:t>
      </w:r>
      <w:r w:rsidR="00157DAB" w:rsidRPr="00157DAB">
        <w:rPr>
          <w:rFonts w:ascii="Calibri" w:eastAsia="Calibri" w:hAnsi="Calibri" w:cs="Calibri"/>
          <w:b/>
          <w:bCs/>
          <w:sz w:val="18"/>
        </w:rPr>
        <w:t>Netcharoensirisuk P</w:t>
      </w:r>
      <w:r w:rsidR="00157DAB" w:rsidRPr="00157DAB">
        <w:rPr>
          <w:rFonts w:ascii="Calibri" w:eastAsia="Calibri" w:hAnsi="Calibri" w:cs="Calibri"/>
          <w:sz w:val="18"/>
        </w:rPr>
        <w:t xml:space="preserve">, 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Puthong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S, 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Dubas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S, 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Palaga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T, and 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Komolpis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K. 2016. Effect of capping agents on the cytotoxicity of silver nanoparticles in human normal and cancer skin cell lines. Journal of Nanoparticle Research. 18(11)</w:t>
      </w:r>
    </w:p>
    <w:p w14:paraId="1FDAC679" w14:textId="13B54320" w:rsidR="00157DAB" w:rsidRPr="00157DAB" w:rsidRDefault="00825A4A" w:rsidP="00157DAB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825A4A">
        <w:rPr>
          <w:rFonts w:ascii="Calibri" w:eastAsia="Calibri" w:hAnsi="Calibri" w:cs="Calibri"/>
          <w:b/>
          <w:bCs/>
          <w:sz w:val="18"/>
        </w:rPr>
        <w:t>4.</w:t>
      </w:r>
      <w:r>
        <w:rPr>
          <w:rFonts w:ascii="Calibri" w:eastAsia="Calibri" w:hAnsi="Calibri" w:cs="Calibri"/>
          <w:sz w:val="18"/>
        </w:rPr>
        <w:t xml:space="preserve"> 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Karnsomwan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W, </w:t>
      </w:r>
      <w:r w:rsidR="00157DAB" w:rsidRPr="00825A4A">
        <w:rPr>
          <w:rFonts w:ascii="Calibri" w:eastAsia="Calibri" w:hAnsi="Calibri" w:cs="Calibri"/>
          <w:b/>
          <w:bCs/>
          <w:sz w:val="18"/>
        </w:rPr>
        <w:t>Netcharoensirisuk P</w:t>
      </w:r>
      <w:r w:rsidR="00157DAB" w:rsidRPr="00157DAB">
        <w:rPr>
          <w:rFonts w:ascii="Calibri" w:eastAsia="Calibri" w:hAnsi="Calibri" w:cs="Calibri"/>
          <w:sz w:val="18"/>
        </w:rPr>
        <w:t xml:space="preserve">, 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Rungrotmongkol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T, De-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Eknamkul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W, and 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Chamni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S. 2017. Synthesis, Biological Evaluation and Molecular Docking of 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Avicequinone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C Analogues as Potential Steroid 5α-Reductase Inhibitors. Chemical and Pharmaceutical Bulletin. 65(3):253-260.</w:t>
      </w:r>
    </w:p>
    <w:p w14:paraId="569CF545" w14:textId="08CF8095" w:rsidR="00AE3E37" w:rsidRPr="008756E6" w:rsidRDefault="00825A4A" w:rsidP="00157DAB">
      <w:pPr>
        <w:tabs>
          <w:tab w:val="left" w:pos="384"/>
        </w:tabs>
        <w:ind w:right="117"/>
      </w:pPr>
      <w:r w:rsidRPr="00825A4A">
        <w:rPr>
          <w:rFonts w:ascii="Calibri" w:eastAsia="Calibri" w:hAnsi="Calibri" w:cs="Calibri"/>
          <w:b/>
          <w:bCs/>
          <w:sz w:val="18"/>
        </w:rPr>
        <w:t>5.</w:t>
      </w:r>
      <w:r>
        <w:rPr>
          <w:rFonts w:ascii="Calibri" w:eastAsia="Calibri" w:hAnsi="Calibri" w:cs="Calibri"/>
          <w:sz w:val="18"/>
        </w:rPr>
        <w:t xml:space="preserve"> 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Saikeaw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R, 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Bijaisoradat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O, </w:t>
      </w:r>
      <w:r w:rsidR="00157DAB" w:rsidRPr="00825A4A">
        <w:rPr>
          <w:rFonts w:ascii="Calibri" w:eastAsia="Calibri" w:hAnsi="Calibri" w:cs="Calibri"/>
          <w:b/>
          <w:bCs/>
          <w:sz w:val="18"/>
        </w:rPr>
        <w:t>Netcharoensirisuk P</w:t>
      </w:r>
      <w:r w:rsidR="00157DAB" w:rsidRPr="00157DAB">
        <w:rPr>
          <w:rFonts w:ascii="Calibri" w:eastAsia="Calibri" w:hAnsi="Calibri" w:cs="Calibri"/>
          <w:sz w:val="18"/>
        </w:rPr>
        <w:t xml:space="preserve">, and </w:t>
      </w:r>
      <w:proofErr w:type="spellStart"/>
      <w:r w:rsidR="00157DAB" w:rsidRPr="00157DAB">
        <w:rPr>
          <w:rFonts w:ascii="Calibri" w:eastAsia="Calibri" w:hAnsi="Calibri" w:cs="Calibri"/>
          <w:sz w:val="18"/>
        </w:rPr>
        <w:t>Dubas</w:t>
      </w:r>
      <w:proofErr w:type="spellEnd"/>
      <w:r w:rsidR="00157DAB" w:rsidRPr="00157DAB">
        <w:rPr>
          <w:rFonts w:ascii="Calibri" w:eastAsia="Calibri" w:hAnsi="Calibri" w:cs="Calibri"/>
          <w:sz w:val="18"/>
        </w:rPr>
        <w:t xml:space="preserve"> S. 2016. Improved pH Sensing of Curcumin Loaded Polyelectrolyte Multilayers Thin Films. Sensor Letters. 14:572-576.</w:t>
      </w:r>
    </w:p>
    <w:p w14:paraId="5E7A4AB5" w14:textId="2162244C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490D826" w14:textId="679C344F" w:rsidR="00AE3E37" w:rsidRDefault="00AE3E37">
      <w:pPr>
        <w:pStyle w:val="BodyText"/>
        <w:rPr>
          <w:rFonts w:ascii="Calibri"/>
          <w:sz w:val="20"/>
        </w:rPr>
      </w:pPr>
    </w:p>
    <w:p w14:paraId="13C0EDD8" w14:textId="1ED45AD3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1A284D4" wp14:editId="341E3FC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56B6A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E72BE43" w14:textId="6D05D881" w:rsidR="001C0D32" w:rsidRDefault="00726800" w:rsidP="00404E5B">
      <w:pPr>
        <w:spacing w:before="92"/>
        <w:ind w:right="4234"/>
        <w:rPr>
          <w:noProof/>
        </w:rPr>
      </w:pPr>
      <w:r w:rsidRPr="001C0D32">
        <w:rPr>
          <w:noProof/>
        </w:rPr>
        <w:drawing>
          <wp:anchor distT="0" distB="0" distL="114300" distR="114300" simplePos="0" relativeHeight="251686400" behindDoc="0" locked="0" layoutInCell="1" allowOverlap="1" wp14:anchorId="7EA5EBB2" wp14:editId="4091A10F">
            <wp:simplePos x="0" y="0"/>
            <wp:positionH relativeFrom="column">
              <wp:posOffset>3924301</wp:posOffset>
            </wp:positionH>
            <wp:positionV relativeFrom="paragraph">
              <wp:posOffset>43815</wp:posOffset>
            </wp:positionV>
            <wp:extent cx="450850" cy="677764"/>
            <wp:effectExtent l="0" t="0" r="6350" b="8255"/>
            <wp:wrapNone/>
            <wp:docPr id="26" name="Picture 25" descr="A picture containing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59B1E68-9B34-4918-99D2-30A70237E4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5" descr="A picture containing text&#10;&#10;Description automatically generated">
                      <a:extLst>
                        <a:ext uri="{FF2B5EF4-FFF2-40B4-BE49-F238E27FC236}">
                          <a16:creationId xmlns:a16="http://schemas.microsoft.com/office/drawing/2014/main" id="{159B1E68-9B34-4918-99D2-30A70237E46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33" cy="67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FDA" w:rsidRPr="001C0D32">
        <w:rPr>
          <w:noProof/>
        </w:rPr>
        <w:drawing>
          <wp:anchor distT="0" distB="0" distL="114300" distR="114300" simplePos="0" relativeHeight="251728384" behindDoc="0" locked="0" layoutInCell="1" allowOverlap="1" wp14:anchorId="52B1E9F9" wp14:editId="50DB864C">
            <wp:simplePos x="0" y="0"/>
            <wp:positionH relativeFrom="column">
              <wp:posOffset>5158740</wp:posOffset>
            </wp:positionH>
            <wp:positionV relativeFrom="paragraph">
              <wp:posOffset>120015</wp:posOffset>
            </wp:positionV>
            <wp:extent cx="889635" cy="547370"/>
            <wp:effectExtent l="0" t="0" r="5715" b="5080"/>
            <wp:wrapThrough wrapText="bothSides">
              <wp:wrapPolygon edited="0">
                <wp:start x="0" y="0"/>
                <wp:lineTo x="0" y="21049"/>
                <wp:lineTo x="21276" y="21049"/>
                <wp:lineTo x="21276" y="0"/>
                <wp:lineTo x="0" y="0"/>
              </wp:wrapPolygon>
            </wp:wrapThrough>
            <wp:docPr id="10" name="Picture 16" descr="A picture containing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94834B8-D175-4113-80B0-EB65D44C0F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A picture containing text&#10;&#10;Description automatically generated">
                      <a:extLst>
                        <a:ext uri="{FF2B5EF4-FFF2-40B4-BE49-F238E27FC236}">
                          <a16:creationId xmlns:a16="http://schemas.microsoft.com/office/drawing/2014/main" id="{E94834B8-D175-4113-80B0-EB65D44C0F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717"/>
                    <a:stretch/>
                  </pic:blipFill>
                  <pic:spPr bwMode="auto">
                    <a:xfrm>
                      <a:off x="0" y="0"/>
                      <a:ext cx="889635" cy="54737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FDA" w:rsidRPr="001F4FDA">
        <w:rPr>
          <w:rFonts w:ascii="Arial"/>
          <w:sz w:val="14"/>
        </w:rPr>
        <w:drawing>
          <wp:anchor distT="0" distB="0" distL="114300" distR="114300" simplePos="0" relativeHeight="251747840" behindDoc="0" locked="0" layoutInCell="1" allowOverlap="1" wp14:anchorId="179D4384" wp14:editId="144FC44D">
            <wp:simplePos x="0" y="0"/>
            <wp:positionH relativeFrom="column">
              <wp:posOffset>5997575</wp:posOffset>
            </wp:positionH>
            <wp:positionV relativeFrom="paragraph">
              <wp:posOffset>213995</wp:posOffset>
            </wp:positionV>
            <wp:extent cx="853440" cy="536575"/>
            <wp:effectExtent l="0" t="0" r="3810" b="0"/>
            <wp:wrapThrough wrapText="bothSides">
              <wp:wrapPolygon edited="0">
                <wp:start x="0" y="0"/>
                <wp:lineTo x="0" y="20705"/>
                <wp:lineTo x="21214" y="20705"/>
                <wp:lineTo x="21214" y="0"/>
                <wp:lineTo x="0" y="0"/>
              </wp:wrapPolygon>
            </wp:wrapThrough>
            <wp:docPr id="11" name="Picture 19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F8E026E-34C8-4E05-BD6D-F39DEDBE4F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9F8E026E-34C8-4E05-BD6D-F39DEDBE4F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0D32" w:rsidRPr="002B1A1D">
        <w:rPr>
          <w:rFonts w:ascii="Times New Roman" w:hAnsi="Times New Roman" w:cs="Times New Roman"/>
          <w:b/>
          <w:bCs/>
          <w:noProof/>
          <w:sz w:val="36"/>
          <w:szCs w:val="44"/>
        </w:rPr>
        <w:drawing>
          <wp:anchor distT="0" distB="0" distL="114300" distR="114300" simplePos="0" relativeHeight="251612672" behindDoc="1" locked="0" layoutInCell="1" allowOverlap="1" wp14:anchorId="17EC9673" wp14:editId="5034572D">
            <wp:simplePos x="0" y="0"/>
            <wp:positionH relativeFrom="column">
              <wp:posOffset>48260</wp:posOffset>
            </wp:positionH>
            <wp:positionV relativeFrom="paragraph">
              <wp:posOffset>6985</wp:posOffset>
            </wp:positionV>
            <wp:extent cx="586740" cy="661670"/>
            <wp:effectExtent l="0" t="0" r="3810" b="5080"/>
            <wp:wrapThrough wrapText="bothSides">
              <wp:wrapPolygon edited="0">
                <wp:start x="0" y="0"/>
                <wp:lineTo x="0" y="21144"/>
                <wp:lineTo x="21039" y="21144"/>
                <wp:lineTo x="21039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</w:p>
    <w:p w14:paraId="1ED7F08E" w14:textId="49B5A8F4" w:rsidR="001C0D32" w:rsidRDefault="001C0D32" w:rsidP="00404E5B">
      <w:pPr>
        <w:spacing w:before="92"/>
        <w:ind w:right="4234"/>
        <w:rPr>
          <w:noProof/>
        </w:rPr>
      </w:pPr>
    </w:p>
    <w:p w14:paraId="37F15921" w14:textId="77777777" w:rsidR="001C0D32" w:rsidRDefault="001C0D32" w:rsidP="00404E5B">
      <w:pPr>
        <w:spacing w:before="92"/>
        <w:ind w:right="4234"/>
        <w:rPr>
          <w:noProof/>
        </w:rPr>
      </w:pPr>
    </w:p>
    <w:p w14:paraId="6B71283F" w14:textId="638D7828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914FB7" w14:textId="676B7AC6" w:rsidR="001F4FDA" w:rsidRDefault="001F4FDA" w:rsidP="001F4FDA">
      <w:pPr>
        <w:spacing w:before="62"/>
        <w:ind w:right="4235"/>
        <w:jc w:val="both"/>
        <w:rPr>
          <w:rFonts w:ascii="Arial"/>
          <w:sz w:val="14"/>
        </w:rPr>
      </w:pPr>
      <w:r w:rsidRPr="001F4FDA">
        <w:rPr>
          <w:rFonts w:ascii="Arial"/>
          <w:sz w:val="14"/>
        </w:rPr>
        <w:t xml:space="preserve">RGJ-19 recipient, </w:t>
      </w:r>
      <w:r w:rsidR="00726800">
        <w:rPr>
          <w:rFonts w:ascii="Arial"/>
          <w:sz w:val="14"/>
        </w:rPr>
        <w:t xml:space="preserve">Program in Biotechnology, </w:t>
      </w:r>
      <w:proofErr w:type="spellStart"/>
      <w:r w:rsidRPr="001F4FDA">
        <w:rPr>
          <w:rFonts w:ascii="Arial"/>
          <w:sz w:val="14"/>
        </w:rPr>
        <w:t>Kasetsart</w:t>
      </w:r>
      <w:proofErr w:type="spellEnd"/>
      <w:r w:rsidRPr="001F4FDA">
        <w:rPr>
          <w:rFonts w:ascii="Arial"/>
          <w:sz w:val="14"/>
        </w:rPr>
        <w:t xml:space="preserve"> University (B.Sc., 2011),</w:t>
      </w:r>
      <w:r>
        <w:rPr>
          <w:rFonts w:ascii="Arial"/>
          <w:sz w:val="14"/>
        </w:rPr>
        <w:t xml:space="preserve"> </w:t>
      </w:r>
      <w:r w:rsidR="00726800">
        <w:rPr>
          <w:rFonts w:ascii="Arial"/>
          <w:sz w:val="14"/>
        </w:rPr>
        <w:t xml:space="preserve">Program in Biotechnology, </w:t>
      </w:r>
      <w:r w:rsidRPr="001F4FDA">
        <w:rPr>
          <w:rFonts w:ascii="Arial"/>
          <w:sz w:val="14"/>
        </w:rPr>
        <w:t>Chulalongkorn University (M.Sc., 2014),</w:t>
      </w:r>
      <w:r w:rsidR="00726800">
        <w:rPr>
          <w:rFonts w:ascii="Arial"/>
          <w:sz w:val="14"/>
        </w:rPr>
        <w:t xml:space="preserve"> </w:t>
      </w:r>
      <w:r w:rsidR="00726800" w:rsidRPr="00726800">
        <w:rPr>
          <w:rFonts w:ascii="Arial"/>
          <w:sz w:val="14"/>
        </w:rPr>
        <w:t xml:space="preserve">Ph.D. program in </w:t>
      </w:r>
      <w:proofErr w:type="spellStart"/>
      <w:r w:rsidR="00726800" w:rsidRPr="00726800">
        <w:rPr>
          <w:rFonts w:ascii="Arial"/>
          <w:sz w:val="14"/>
        </w:rPr>
        <w:t>Biomedicinal</w:t>
      </w:r>
      <w:proofErr w:type="spellEnd"/>
      <w:r w:rsidR="00726800" w:rsidRPr="00726800">
        <w:rPr>
          <w:rFonts w:ascii="Arial"/>
          <w:sz w:val="14"/>
        </w:rPr>
        <w:t xml:space="preserve"> Chemistry, Department of Biochemistry and Microbiology, Faculty of Pharmaceutical Sciences, Chulalongkorn University</w:t>
      </w:r>
      <w:r w:rsidR="00726800">
        <w:rPr>
          <w:rFonts w:ascii="Arial"/>
          <w:sz w:val="14"/>
        </w:rPr>
        <w:t xml:space="preserve"> (2021), </w:t>
      </w:r>
      <w:r w:rsidR="00726800" w:rsidRPr="00726800">
        <w:rPr>
          <w:rFonts w:ascii="Arial"/>
          <w:sz w:val="14"/>
        </w:rPr>
        <w:t>TRF-DAAD Research-based Mobility Scheme (2019/2020).</w:t>
      </w:r>
      <w:r w:rsidR="00726800">
        <w:rPr>
          <w:rFonts w:ascii="Arial"/>
          <w:sz w:val="14"/>
        </w:rPr>
        <w:t xml:space="preserve"> Focus of interest (Cancer</w:t>
      </w:r>
      <w:r w:rsidR="009F5AF2">
        <w:rPr>
          <w:rFonts w:ascii="Arial"/>
          <w:sz w:val="14"/>
        </w:rPr>
        <w:t xml:space="preserve"> cells, melanoma, melanogenesis, melanocyte stem cells)</w:t>
      </w:r>
    </w:p>
    <w:p w14:paraId="7F2F9FFA" w14:textId="77777777" w:rsidR="001F4FDA" w:rsidRDefault="001F4FDA">
      <w:pPr>
        <w:spacing w:before="62"/>
        <w:ind w:left="4217" w:right="4235"/>
        <w:jc w:val="center"/>
        <w:rPr>
          <w:rFonts w:ascii="Arial"/>
          <w:sz w:val="14"/>
        </w:rPr>
      </w:pPr>
    </w:p>
    <w:p w14:paraId="010B0AF9" w14:textId="56519325" w:rsidR="00AE3E37" w:rsidRDefault="00A9710C" w:rsidP="0063584A">
      <w:pPr>
        <w:spacing w:before="62"/>
        <w:ind w:left="3600"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63584A" w:rsidRPr="00114B6C">
          <w:rPr>
            <w:rStyle w:val="Hyperlink"/>
            <w:rFonts w:ascii="Arial"/>
            <w:sz w:val="14"/>
          </w:rPr>
          <w:t>pnetcharoensirisuk@gmail.com</w:t>
        </w:r>
      </w:hyperlink>
    </w:p>
    <w:p w14:paraId="0728A11F" w14:textId="367ACB22" w:rsidR="00EA7D51" w:rsidRPr="0063584A" w:rsidRDefault="00292ED9" w:rsidP="0063584A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570688" behindDoc="0" locked="0" layoutInCell="1" allowOverlap="1" wp14:anchorId="6C5D4CA7" wp14:editId="6731FCB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4C6E71" id="Line 3" o:spid="_x0000_s1026" style="position:absolute;z-index:251570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3CB9DC08" w14:textId="7BDD754F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lastRenderedPageBreak/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5C1105">
        <w:rPr>
          <w:sz w:val="20"/>
          <w:szCs w:val="20"/>
          <w:lang w:val="en-NZ"/>
        </w:rPr>
        <w:t>Ponsawan Netcharoensirisuk</w:t>
      </w:r>
      <w:r w:rsidRPr="00F35A62">
        <w:rPr>
          <w:sz w:val="20"/>
          <w:szCs w:val="20"/>
          <w:lang w:val="en-NZ"/>
        </w:rPr>
        <w:br/>
        <w:t>Contact number:</w:t>
      </w:r>
      <w:r w:rsidR="005C1105">
        <w:rPr>
          <w:sz w:val="20"/>
          <w:szCs w:val="20"/>
          <w:lang w:val="en-NZ"/>
        </w:rPr>
        <w:t xml:space="preserve"> +66 873669261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14:paraId="413AFA78" w14:textId="1B7F8495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="005C1105">
        <w:rPr>
          <w:sz w:val="20"/>
          <w:szCs w:val="20"/>
          <w:lang w:val="en-NZ"/>
        </w:rPr>
        <w:t>: Poster presentation</w:t>
      </w:r>
      <w:r w:rsidRPr="00F35A62">
        <w:rPr>
          <w:sz w:val="20"/>
          <w:szCs w:val="20"/>
          <w:lang w:val="en-NZ"/>
        </w:rPr>
        <w:br/>
      </w:r>
    </w:p>
    <w:p w14:paraId="0EA7A616" w14:textId="77777777" w:rsidR="00EA7D51" w:rsidRPr="000534A1" w:rsidRDefault="00EA7D51" w:rsidP="0063584A">
      <w:pPr>
        <w:spacing w:before="39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509B6153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A1065" w14:textId="77777777" w:rsidR="0006797A" w:rsidRDefault="0006797A">
      <w:r>
        <w:separator/>
      </w:r>
    </w:p>
  </w:endnote>
  <w:endnote w:type="continuationSeparator" w:id="0">
    <w:p w14:paraId="23ECD7EE" w14:textId="77777777" w:rsidR="0006797A" w:rsidRDefault="00067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E8E8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32ADD2C" wp14:editId="7E73D5C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9CF2A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715BAB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2ADD2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539CF2A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715BAB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DD3C4" wp14:editId="2511EC5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67400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90FA55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DD3C4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967400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90FA55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BA44276" wp14:editId="27966A9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55A1F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B33783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A44276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755A1F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B33783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1C0CB" w14:textId="77777777" w:rsidR="0006797A" w:rsidRDefault="0006797A">
      <w:r>
        <w:separator/>
      </w:r>
    </w:p>
  </w:footnote>
  <w:footnote w:type="continuationSeparator" w:id="0">
    <w:p w14:paraId="116E5621" w14:textId="77777777" w:rsidR="0006797A" w:rsidRDefault="00067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B4CAA"/>
    <w:rsid w:val="000E2911"/>
    <w:rsid w:val="001263DF"/>
    <w:rsid w:val="00145817"/>
    <w:rsid w:val="00146654"/>
    <w:rsid w:val="00157DAB"/>
    <w:rsid w:val="001C0D32"/>
    <w:rsid w:val="001F4FDA"/>
    <w:rsid w:val="00292ED9"/>
    <w:rsid w:val="002A279B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5C1105"/>
    <w:rsid w:val="006060CE"/>
    <w:rsid w:val="0061505C"/>
    <w:rsid w:val="0063497F"/>
    <w:rsid w:val="0063584A"/>
    <w:rsid w:val="00714354"/>
    <w:rsid w:val="00726800"/>
    <w:rsid w:val="00774F7B"/>
    <w:rsid w:val="007E0D7E"/>
    <w:rsid w:val="00825A4A"/>
    <w:rsid w:val="00873DF0"/>
    <w:rsid w:val="008756E6"/>
    <w:rsid w:val="00897EC5"/>
    <w:rsid w:val="008A0763"/>
    <w:rsid w:val="008E5477"/>
    <w:rsid w:val="008E7292"/>
    <w:rsid w:val="009B2D44"/>
    <w:rsid w:val="009F5AF2"/>
    <w:rsid w:val="00A07E82"/>
    <w:rsid w:val="00A52075"/>
    <w:rsid w:val="00A9710C"/>
    <w:rsid w:val="00AE3E37"/>
    <w:rsid w:val="00B21A57"/>
    <w:rsid w:val="00BC575F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EC62FC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BF2405"/>
  <w15:docId w15:val="{78C1EBA6-A408-4E02-B1B6-C2234228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35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pnetcharoensirisu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Ponsawan Netcharoensirisuk</cp:lastModifiedBy>
  <cp:revision>2</cp:revision>
  <dcterms:created xsi:type="dcterms:W3CDTF">2021-12-20T09:24:00Z</dcterms:created>
  <dcterms:modified xsi:type="dcterms:W3CDTF">2021-12-20T09:24:00Z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