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0BF6F" w14:textId="77777777" w:rsidR="00AE7410" w:rsidRDefault="00AE7410" w:rsidP="00AE7410">
      <w:r>
        <w:t>Title:</w:t>
      </w:r>
    </w:p>
    <w:p w14:paraId="2BBCBF18" w14:textId="77777777" w:rsidR="00AE7410" w:rsidRDefault="00AE7410" w:rsidP="00AE7410">
      <w:r>
        <w:t>Case Study: Confusion, Pyrexia, and an enlarging ulcer</w:t>
      </w:r>
    </w:p>
    <w:p w14:paraId="02FBD749" w14:textId="77777777" w:rsidR="00AE7410" w:rsidRDefault="00AE7410" w:rsidP="00AE7410">
      <w:proofErr w:type="spellStart"/>
      <w:r>
        <w:t>Pyoderma</w:t>
      </w:r>
      <w:proofErr w:type="spellEnd"/>
      <w:r>
        <w:t xml:space="preserve"> Gangrenosum (PG) is a rare, inflammatory skin condition often associated with medical co-</w:t>
      </w:r>
      <w:proofErr w:type="gramStart"/>
      <w:r>
        <w:t>morbidities[</w:t>
      </w:r>
      <w:proofErr w:type="gramEnd"/>
      <w:r>
        <w:t xml:space="preserve">1]. Ulcerative PG is the most common variant, presenting as a rapidly enlarging ulcer with </w:t>
      </w:r>
      <w:proofErr w:type="spellStart"/>
      <w:r>
        <w:t>violaceous</w:t>
      </w:r>
      <w:proofErr w:type="spellEnd"/>
      <w:r>
        <w:t xml:space="preserve">, undermined borders and a </w:t>
      </w:r>
      <w:proofErr w:type="spellStart"/>
      <w:r>
        <w:t>neutrophilic</w:t>
      </w:r>
      <w:proofErr w:type="spellEnd"/>
      <w:r>
        <w:t xml:space="preserve"> infiltrate histologically. Diagnosis can be made based on the Delphi Consensus </w:t>
      </w:r>
      <w:proofErr w:type="gramStart"/>
      <w:r>
        <w:t>criteria[</w:t>
      </w:r>
      <w:proofErr w:type="gramEnd"/>
      <w:r>
        <w:t>2]. Unfortunately, PG is often misdiagnosed as cellulitis or a necrotising infection, leading to treatment delay and adverse outcomes. We present a rare case of ulcerative PG with systemic involvement requiring heterogeneous doses of immunosuppression to control all aspects of the condition.</w:t>
      </w:r>
    </w:p>
    <w:p w14:paraId="127EBDA6" w14:textId="77777777" w:rsidR="00AE7410" w:rsidRDefault="00AE7410" w:rsidP="00AE7410">
      <w:r>
        <w:t xml:space="preserve">An 82 year old man with known </w:t>
      </w:r>
      <w:proofErr w:type="spellStart"/>
      <w:r>
        <w:t>myelodysplasia</w:t>
      </w:r>
      <w:proofErr w:type="spellEnd"/>
      <w:r>
        <w:t xml:space="preserve"> was referred with a non-healing ulcer on his right forearm by Trauma &amp; Orthopaedics. Diagnosed as a necrotising infection, he received multiple courses of antibiotics and 3 separate wide margin tissue </w:t>
      </w:r>
      <w:proofErr w:type="spellStart"/>
      <w:r>
        <w:t>debridements</w:t>
      </w:r>
      <w:proofErr w:type="spellEnd"/>
      <w:r>
        <w:t xml:space="preserve"> under general anaesthesia without improvement. On presentation, he was confused, pyrexial and complained of abdominal pain with diarrhoea. There was a 12cm full thickness exudative ulcer on his right forearm with muscle and tendon sheath visible. A diagnosis of PG with systemic involvement was made, and high dose (1mg/kg) prednisolone commenced. The ulcer began to heal and the gastrointestinal symptoms resolved. His persistent confusional state remarkably improved to baseline only after increasing the steroid dose. After cessation of topical </w:t>
      </w:r>
      <w:proofErr w:type="spellStart"/>
      <w:r>
        <w:t>Dermovate</w:t>
      </w:r>
      <w:proofErr w:type="spellEnd"/>
      <w:r>
        <w:t>®, his forearm wound healed via second intention without need for skin grafting.</w:t>
      </w:r>
    </w:p>
    <w:p w14:paraId="233E50A4" w14:textId="77777777" w:rsidR="00AE7410" w:rsidRDefault="00AE7410" w:rsidP="00AE7410">
      <w:r>
        <w:t>This case highlights: The critical importance of early diagnosis of PG; that systemic involvement may require higher doses of immunosuppression, and stopping topical steroids can allow healing via second intent.</w:t>
      </w:r>
    </w:p>
    <w:p w14:paraId="28A86B10" w14:textId="77777777" w:rsidR="00AE7410" w:rsidRDefault="00AE7410" w:rsidP="00AE7410">
      <w:r>
        <w:t>(250 words)</w:t>
      </w:r>
      <w:bookmarkStart w:id="0" w:name="_GoBack"/>
      <w:bookmarkEnd w:id="0"/>
    </w:p>
    <w:p w14:paraId="6020033A" w14:textId="77777777" w:rsidR="00AE7410" w:rsidRDefault="00AE7410" w:rsidP="00AE7410">
      <w:r>
        <w:t>Reference:</w:t>
      </w:r>
    </w:p>
    <w:p w14:paraId="4728ADAC" w14:textId="77777777" w:rsidR="00AE7410" w:rsidRDefault="00AE7410" w:rsidP="00AE7410">
      <w:r>
        <w:t>1.</w:t>
      </w:r>
      <w:r>
        <w:tab/>
      </w:r>
      <w:proofErr w:type="spellStart"/>
      <w:r>
        <w:t>Ashchyan</w:t>
      </w:r>
      <w:proofErr w:type="spellEnd"/>
      <w:r>
        <w:t xml:space="preserve"> HJ</w:t>
      </w:r>
      <w:proofErr w:type="gramStart"/>
      <w:r>
        <w:t>, ,</w:t>
      </w:r>
      <w:proofErr w:type="gramEnd"/>
      <w:r>
        <w:t xml:space="preserve"> Nelson CA, Stephen S, et al. Neutrophilic </w:t>
      </w:r>
      <w:proofErr w:type="spellStart"/>
      <w:r>
        <w:t>dermatoses</w:t>
      </w:r>
      <w:proofErr w:type="spellEnd"/>
      <w:r>
        <w:t xml:space="preserve">: </w:t>
      </w:r>
      <w:proofErr w:type="spellStart"/>
      <w:r>
        <w:t>Pyoderma</w:t>
      </w:r>
      <w:proofErr w:type="spellEnd"/>
      <w:r>
        <w:t xml:space="preserve"> </w:t>
      </w:r>
      <w:proofErr w:type="spellStart"/>
      <w:r>
        <w:t>gangrenosum</w:t>
      </w:r>
      <w:proofErr w:type="spellEnd"/>
      <w:r>
        <w:t xml:space="preserve"> and other bowel- and arthritis-associated </w:t>
      </w:r>
      <w:proofErr w:type="spellStart"/>
      <w:r>
        <w:t>neutrophilic</w:t>
      </w:r>
      <w:proofErr w:type="spellEnd"/>
      <w:r>
        <w:t xml:space="preserve"> </w:t>
      </w:r>
      <w:proofErr w:type="spellStart"/>
      <w:r>
        <w:t>dermatoses</w:t>
      </w:r>
      <w:proofErr w:type="spellEnd"/>
      <w:r>
        <w:t xml:space="preserve">. J Am </w:t>
      </w:r>
      <w:proofErr w:type="spellStart"/>
      <w:r>
        <w:t>Acad</w:t>
      </w:r>
      <w:proofErr w:type="spellEnd"/>
      <w:r>
        <w:t xml:space="preserve"> </w:t>
      </w:r>
      <w:proofErr w:type="spellStart"/>
      <w:r>
        <w:t>Dermatol</w:t>
      </w:r>
      <w:proofErr w:type="spellEnd"/>
      <w:r>
        <w:t>. 2018 Dec</w:t>
      </w:r>
      <w:proofErr w:type="gramStart"/>
      <w:r>
        <w:t>;79</w:t>
      </w:r>
      <w:proofErr w:type="gramEnd"/>
      <w:r>
        <w:t>(6):1009-1022</w:t>
      </w:r>
    </w:p>
    <w:p w14:paraId="7E9B8502" w14:textId="77777777" w:rsidR="005959CB" w:rsidRDefault="00AE7410">
      <w:r>
        <w:t>2.</w:t>
      </w:r>
      <w:r>
        <w:tab/>
      </w:r>
      <w:proofErr w:type="spellStart"/>
      <w:r>
        <w:t>Maverakis</w:t>
      </w:r>
      <w:proofErr w:type="spellEnd"/>
      <w:r>
        <w:t xml:space="preserve"> E, Ma C, </w:t>
      </w:r>
      <w:proofErr w:type="spellStart"/>
      <w:r>
        <w:t>Shinkai</w:t>
      </w:r>
      <w:proofErr w:type="spellEnd"/>
      <w:r>
        <w:t xml:space="preserve"> K, et al. Diagnostic Criteria of Ulcerative </w:t>
      </w:r>
      <w:proofErr w:type="spellStart"/>
      <w:r>
        <w:t>Pyoderma</w:t>
      </w:r>
      <w:proofErr w:type="spellEnd"/>
      <w:r>
        <w:t xml:space="preserve"> Gangrenosum: A Delphi Consensus of International Experts. JAMA </w:t>
      </w:r>
      <w:proofErr w:type="spellStart"/>
      <w:r>
        <w:t>Dermatol</w:t>
      </w:r>
      <w:proofErr w:type="spellEnd"/>
      <w:r>
        <w:t>. 2018</w:t>
      </w:r>
      <w:proofErr w:type="gramStart"/>
      <w:r>
        <w:t>;154</w:t>
      </w:r>
      <w:proofErr w:type="gramEnd"/>
      <w:r>
        <w:t xml:space="preserve">(4):461–466. </w:t>
      </w:r>
    </w:p>
    <w:sectPr w:rsidR="005959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10"/>
    <w:rsid w:val="000154EF"/>
    <w:rsid w:val="00045255"/>
    <w:rsid w:val="001D076B"/>
    <w:rsid w:val="0021697D"/>
    <w:rsid w:val="00237C06"/>
    <w:rsid w:val="0037042F"/>
    <w:rsid w:val="0044000D"/>
    <w:rsid w:val="00495DDC"/>
    <w:rsid w:val="00601635"/>
    <w:rsid w:val="00A25626"/>
    <w:rsid w:val="00A77140"/>
    <w:rsid w:val="00AE7410"/>
    <w:rsid w:val="00BF27E3"/>
    <w:rsid w:val="00D534E2"/>
    <w:rsid w:val="00DF3ADB"/>
    <w:rsid w:val="00E169FF"/>
    <w:rsid w:val="00F652DE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FEF60"/>
  <w15:chartTrackingRefBased/>
  <w15:docId w15:val="{FDDB1434-5ED1-4DA4-8EA9-0AC36E4D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Oong</dc:creator>
  <cp:keywords/>
  <dc:description/>
  <cp:lastModifiedBy>Ginny Oong</cp:lastModifiedBy>
  <cp:revision>1</cp:revision>
  <dcterms:created xsi:type="dcterms:W3CDTF">2019-06-05T15:55:00Z</dcterms:created>
  <dcterms:modified xsi:type="dcterms:W3CDTF">2019-06-05T15:56:00Z</dcterms:modified>
</cp:coreProperties>
</file>