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EFF" w:rsidRPr="00B50BAC" w:rsidRDefault="00E61EFF" w:rsidP="00E61EFF">
      <w:pPr>
        <w:spacing w:before="100" w:beforeAutospacing="1" w:after="100" w:afterAutospacing="1"/>
        <w:rPr>
          <w:b/>
          <w:bCs/>
          <w:color w:val="000000"/>
          <w:sz w:val="32"/>
          <w:szCs w:val="32"/>
        </w:rPr>
      </w:pPr>
      <w:r w:rsidRPr="00B50BAC">
        <w:rPr>
          <w:b/>
          <w:bCs/>
          <w:color w:val="000000"/>
          <w:sz w:val="32"/>
          <w:szCs w:val="32"/>
        </w:rPr>
        <w:t xml:space="preserve">The use of complementary medicine among acne </w:t>
      </w:r>
      <w:proofErr w:type="spellStart"/>
      <w:r w:rsidRPr="00B50BAC">
        <w:rPr>
          <w:b/>
          <w:bCs/>
          <w:color w:val="000000"/>
          <w:sz w:val="32"/>
          <w:szCs w:val="32"/>
        </w:rPr>
        <w:t>valguris</w:t>
      </w:r>
      <w:proofErr w:type="spellEnd"/>
      <w:r w:rsidRPr="00B50BAC">
        <w:rPr>
          <w:b/>
          <w:bCs/>
          <w:color w:val="000000"/>
          <w:sz w:val="32"/>
          <w:szCs w:val="32"/>
        </w:rPr>
        <w:t xml:space="preserve"> patients: cross sectional study</w:t>
      </w:r>
    </w:p>
    <w:p w:rsidR="00E61EFF" w:rsidRPr="00B50BAC" w:rsidRDefault="00E61EFF" w:rsidP="00E61EFF">
      <w:pPr>
        <w:spacing w:before="100" w:beforeAutospacing="1" w:after="100" w:afterAutospacing="1"/>
        <w:rPr>
          <w:color w:val="000000"/>
        </w:rPr>
      </w:pPr>
      <w:r w:rsidRPr="00B50BAC">
        <w:rPr>
          <w:color w:val="000000"/>
        </w:rPr>
        <w:t xml:space="preserve">Ahmad </w:t>
      </w:r>
      <w:proofErr w:type="spellStart"/>
      <w:r w:rsidRPr="00B50BAC">
        <w:rPr>
          <w:color w:val="000000"/>
        </w:rPr>
        <w:t>Ahmad</w:t>
      </w:r>
      <w:proofErr w:type="spellEnd"/>
      <w:r w:rsidRPr="00B50BAC">
        <w:rPr>
          <w:color w:val="000000"/>
        </w:rPr>
        <w:t xml:space="preserve"> MD(1), </w:t>
      </w:r>
      <w:proofErr w:type="spellStart"/>
      <w:r w:rsidRPr="00B50BAC">
        <w:rPr>
          <w:color w:val="000000"/>
        </w:rPr>
        <w:t>logain</w:t>
      </w:r>
      <w:proofErr w:type="spellEnd"/>
      <w:r w:rsidRPr="00B50BAC">
        <w:rPr>
          <w:color w:val="000000"/>
        </w:rPr>
        <w:t xml:space="preserve"> </w:t>
      </w:r>
      <w:proofErr w:type="spellStart"/>
      <w:r w:rsidRPr="00B50BAC">
        <w:rPr>
          <w:color w:val="000000"/>
        </w:rPr>
        <w:t>Alghanemi</w:t>
      </w:r>
      <w:proofErr w:type="spellEnd"/>
      <w:r w:rsidRPr="00B50BAC">
        <w:rPr>
          <w:color w:val="000000"/>
        </w:rPr>
        <w:t xml:space="preserve"> MD (1), </w:t>
      </w:r>
      <w:proofErr w:type="spellStart"/>
      <w:r w:rsidRPr="00B50BAC">
        <w:rPr>
          <w:color w:val="000000"/>
        </w:rPr>
        <w:t>sumayyah</w:t>
      </w:r>
      <w:proofErr w:type="spellEnd"/>
      <w:r w:rsidRPr="00B50BAC">
        <w:rPr>
          <w:color w:val="000000"/>
        </w:rPr>
        <w:t xml:space="preserve"> </w:t>
      </w:r>
      <w:proofErr w:type="spellStart"/>
      <w:r w:rsidRPr="00B50BAC">
        <w:rPr>
          <w:color w:val="000000"/>
        </w:rPr>
        <w:t>Alrefaie</w:t>
      </w:r>
      <w:proofErr w:type="spellEnd"/>
      <w:r w:rsidRPr="00B50BAC">
        <w:rPr>
          <w:color w:val="000000"/>
        </w:rPr>
        <w:t xml:space="preserve"> MD, </w:t>
      </w:r>
      <w:proofErr w:type="spellStart"/>
      <w:r w:rsidRPr="00B50BAC">
        <w:rPr>
          <w:color w:val="000000"/>
        </w:rPr>
        <w:t>Shahad</w:t>
      </w:r>
      <w:proofErr w:type="spellEnd"/>
      <w:r w:rsidRPr="00B50BAC">
        <w:rPr>
          <w:color w:val="000000"/>
        </w:rPr>
        <w:t xml:space="preserve"> </w:t>
      </w:r>
      <w:proofErr w:type="spellStart"/>
      <w:r w:rsidRPr="00B50BAC">
        <w:rPr>
          <w:color w:val="000000"/>
        </w:rPr>
        <w:t>Alorabi</w:t>
      </w:r>
      <w:proofErr w:type="spellEnd"/>
      <w:r w:rsidRPr="00B50BAC">
        <w:rPr>
          <w:color w:val="000000"/>
        </w:rPr>
        <w:t xml:space="preserve">, </w:t>
      </w:r>
      <w:proofErr w:type="spellStart"/>
      <w:r w:rsidRPr="00D72678">
        <w:rPr>
          <w:color w:val="000000"/>
        </w:rPr>
        <w:t>Ghaida</w:t>
      </w:r>
      <w:proofErr w:type="spellEnd"/>
      <w:r w:rsidRPr="00D72678">
        <w:rPr>
          <w:color w:val="000000"/>
        </w:rPr>
        <w:t xml:space="preserve"> ahmad MD</w:t>
      </w:r>
      <w:r w:rsidRPr="00B50BAC">
        <w:rPr>
          <w:color w:val="000000"/>
        </w:rPr>
        <w:t>(1)</w:t>
      </w:r>
      <w:r w:rsidRPr="00D72678">
        <w:rPr>
          <w:color w:val="000000"/>
        </w:rPr>
        <w:t xml:space="preserve">, </w:t>
      </w:r>
      <w:r w:rsidRPr="00B50BAC">
        <w:rPr>
          <w:color w:val="000000"/>
        </w:rPr>
        <w:t xml:space="preserve">Sameer </w:t>
      </w:r>
      <w:proofErr w:type="spellStart"/>
      <w:r w:rsidRPr="00B50BAC">
        <w:rPr>
          <w:color w:val="000000"/>
        </w:rPr>
        <w:t>zimmo</w:t>
      </w:r>
      <w:proofErr w:type="spellEnd"/>
      <w:r w:rsidRPr="00B50BAC">
        <w:rPr>
          <w:color w:val="000000"/>
        </w:rPr>
        <w:t xml:space="preserve"> MD (1)</w:t>
      </w:r>
      <w:r w:rsidRPr="00D72678">
        <w:rPr>
          <w:color w:val="000000"/>
        </w:rPr>
        <w:t xml:space="preserve">, </w:t>
      </w:r>
    </w:p>
    <w:p w:rsidR="00E61EFF" w:rsidRPr="00D72678" w:rsidRDefault="00E61EFF" w:rsidP="00E61EFF">
      <w:pPr>
        <w:spacing w:before="100" w:beforeAutospacing="1" w:after="100" w:afterAutospacing="1"/>
        <w:rPr>
          <w:color w:val="000000"/>
        </w:rPr>
      </w:pPr>
      <w:r w:rsidRPr="00B50BAC">
        <w:rPr>
          <w:color w:val="000000"/>
        </w:rPr>
        <w:t xml:space="preserve">1-Department of dermatology, King </w:t>
      </w:r>
      <w:proofErr w:type="spellStart"/>
      <w:r w:rsidRPr="00B50BAC">
        <w:rPr>
          <w:color w:val="000000"/>
        </w:rPr>
        <w:t>Abdulaziz</w:t>
      </w:r>
      <w:proofErr w:type="spellEnd"/>
      <w:r w:rsidRPr="00B50BAC">
        <w:rPr>
          <w:color w:val="000000"/>
        </w:rPr>
        <w:t xml:space="preserve"> University Hospital, Jeddah, Saudi Arabia</w:t>
      </w:r>
    </w:p>
    <w:p w:rsidR="00E61EFF" w:rsidRPr="00CE2788" w:rsidRDefault="00E61EFF" w:rsidP="00E61EFF">
      <w:pPr>
        <w:spacing w:line="360" w:lineRule="auto"/>
        <w:rPr>
          <w:rFonts w:ascii="Calibri" w:hAnsi="Calibri" w:cs="Calibri"/>
          <w:sz w:val="29"/>
          <w:szCs w:val="29"/>
          <w:lang w:val="en"/>
        </w:rPr>
      </w:pPr>
      <w:r w:rsidRPr="00CE2788">
        <w:rPr>
          <w:rFonts w:ascii="Calibri" w:hAnsi="Calibri" w:cs="Calibri"/>
          <w:b/>
          <w:bCs/>
          <w:sz w:val="32"/>
          <w:szCs w:val="32"/>
        </w:rPr>
        <w:t>Abstract</w:t>
      </w:r>
      <w:r w:rsidRPr="00CE2788">
        <w:rPr>
          <w:rFonts w:ascii="Calibri" w:hAnsi="Calibri" w:cs="Calibri"/>
          <w:sz w:val="29"/>
          <w:szCs w:val="29"/>
          <w:lang w:val="en"/>
        </w:rPr>
        <w:t xml:space="preserve"> </w:t>
      </w:r>
    </w:p>
    <w:p w:rsidR="00E61EFF" w:rsidRPr="00CE2788" w:rsidRDefault="00E61EFF" w:rsidP="00E61EFF">
      <w:pPr>
        <w:spacing w:line="360" w:lineRule="auto"/>
        <w:jc w:val="both"/>
        <w:textAlignment w:val="baseline"/>
        <w:rPr>
          <w:rFonts w:ascii="Calibri" w:hAnsi="Calibri" w:cs="Calibri"/>
        </w:rPr>
      </w:pPr>
      <w:r w:rsidRPr="00CE2788">
        <w:rPr>
          <w:rFonts w:ascii="Calibri" w:hAnsi="Calibri" w:cs="Calibri"/>
          <w:b/>
          <w:bCs/>
          <w:lang w:val="en"/>
        </w:rPr>
        <w:t>Background:</w:t>
      </w:r>
      <w:r w:rsidRPr="00CE2788">
        <w:rPr>
          <w:rFonts w:ascii="Calibri" w:hAnsi="Calibri" w:cs="Calibri"/>
          <w:lang w:val="en"/>
        </w:rPr>
        <w:t xml:space="preserve"> </w:t>
      </w:r>
      <w:r w:rsidRPr="00CE2788">
        <w:rPr>
          <w:rFonts w:ascii="Calibri" w:hAnsi="Calibri" w:cs="Calibri"/>
          <w:color w:val="333333"/>
        </w:rPr>
        <w:t xml:space="preserve">Acne </w:t>
      </w:r>
      <w:r w:rsidRPr="00CE2788">
        <w:rPr>
          <w:rFonts w:ascii="Calibri" w:hAnsi="Calibri" w:cs="Calibri"/>
        </w:rPr>
        <w:t xml:space="preserve">vulgaris </w:t>
      </w:r>
      <w:r w:rsidRPr="00CE2788">
        <w:rPr>
          <w:rFonts w:ascii="Calibri" w:hAnsi="Calibri" w:cs="Calibri"/>
          <w:color w:val="333333"/>
        </w:rPr>
        <w:t xml:space="preserve">is a skin disease characterized by inflamed spots and blackheads on different parts of the body. It is a very common disease, and several modalities are used to manage the condition. Among those is </w:t>
      </w:r>
      <w:r w:rsidRPr="00CE2788">
        <w:rPr>
          <w:rFonts w:ascii="Calibri" w:hAnsi="Calibri" w:cs="Calibri"/>
        </w:rPr>
        <w:t xml:space="preserve">Complementary Alternative Medicine (CAM). This study aims to evaluate the prevalence of CAM usage among acne vulgaris patients and to determine possible factors associated with its adoption over the prescribed modern medicines. </w:t>
      </w:r>
    </w:p>
    <w:p w:rsidR="00E61EFF" w:rsidRPr="00CE2788" w:rsidRDefault="00E61EFF" w:rsidP="00E61EFF">
      <w:pPr>
        <w:spacing w:line="360" w:lineRule="auto"/>
        <w:jc w:val="both"/>
        <w:rPr>
          <w:rFonts w:ascii="Calibri" w:hAnsi="Calibri" w:cs="Calibri"/>
          <w:lang w:val="en"/>
        </w:rPr>
      </w:pPr>
    </w:p>
    <w:p w:rsidR="00E61EFF" w:rsidRPr="00CE2788" w:rsidRDefault="00E61EFF" w:rsidP="00E61EFF">
      <w:pPr>
        <w:spacing w:line="360" w:lineRule="auto"/>
        <w:jc w:val="both"/>
        <w:rPr>
          <w:rFonts w:ascii="Calibri" w:eastAsia="Calibri" w:hAnsi="Calibri" w:cs="Calibri"/>
        </w:rPr>
      </w:pPr>
      <w:r w:rsidRPr="00CE2788">
        <w:rPr>
          <w:rFonts w:ascii="Calibri" w:hAnsi="Calibri" w:cs="Calibri"/>
          <w:b/>
          <w:bCs/>
          <w:lang w:val="en"/>
        </w:rPr>
        <w:t>Methods:</w:t>
      </w:r>
      <w:r w:rsidRPr="00CE2788">
        <w:rPr>
          <w:rFonts w:ascii="Calibri" w:hAnsi="Calibri" w:cs="Calibri"/>
          <w:lang w:val="en"/>
        </w:rPr>
        <w:t xml:space="preserve"> </w:t>
      </w:r>
      <w:r w:rsidRPr="00CE2788">
        <w:rPr>
          <w:rFonts w:ascii="Calibri" w:eastAsia="Calibri" w:hAnsi="Calibri" w:cs="Calibri"/>
        </w:rPr>
        <w:t xml:space="preserve">A cross-sectional survey, conducted during an acne diagnosis and management awareness campaign at King </w:t>
      </w:r>
      <w:proofErr w:type="spellStart"/>
      <w:r w:rsidRPr="00CE2788">
        <w:rPr>
          <w:rFonts w:ascii="Calibri" w:eastAsia="Calibri" w:hAnsi="Calibri" w:cs="Calibri"/>
        </w:rPr>
        <w:t>Abdulaziz</w:t>
      </w:r>
      <w:proofErr w:type="spellEnd"/>
      <w:r w:rsidRPr="00CE2788">
        <w:rPr>
          <w:rFonts w:ascii="Calibri" w:eastAsia="Calibri" w:hAnsi="Calibri" w:cs="Calibri"/>
        </w:rPr>
        <w:t xml:space="preserve"> University Hospital (KAUH), in Jeddah, Saudi Arabia. </w:t>
      </w:r>
      <w:r w:rsidRPr="00CE2788">
        <w:rPr>
          <w:rFonts w:ascii="Calibri" w:hAnsi="Calibri" w:cs="Calibri"/>
        </w:rPr>
        <w:t>The survey was conducted between January 21</w:t>
      </w:r>
      <w:r w:rsidRPr="00CE2788">
        <w:rPr>
          <w:rFonts w:ascii="Calibri" w:hAnsi="Calibri" w:cs="Calibri"/>
          <w:vertAlign w:val="superscript"/>
        </w:rPr>
        <w:t>st</w:t>
      </w:r>
      <w:r w:rsidRPr="00CE2788">
        <w:rPr>
          <w:rFonts w:ascii="Calibri" w:hAnsi="Calibri" w:cs="Calibri"/>
        </w:rPr>
        <w:t xml:space="preserve"> and 28</w:t>
      </w:r>
      <w:r w:rsidRPr="00CE2788">
        <w:rPr>
          <w:rFonts w:ascii="Calibri" w:hAnsi="Calibri" w:cs="Calibri"/>
          <w:vertAlign w:val="superscript"/>
        </w:rPr>
        <w:t>th</w:t>
      </w:r>
      <w:r w:rsidRPr="00CE2788">
        <w:rPr>
          <w:rFonts w:ascii="Calibri" w:hAnsi="Calibri" w:cs="Calibri"/>
        </w:rPr>
        <w:t xml:space="preserve"> 2016.</w:t>
      </w:r>
    </w:p>
    <w:p w:rsidR="00E61EFF" w:rsidRPr="00CE2788" w:rsidRDefault="00E61EFF" w:rsidP="00E61EFF">
      <w:pPr>
        <w:spacing w:line="360" w:lineRule="auto"/>
        <w:jc w:val="both"/>
        <w:rPr>
          <w:rFonts w:ascii="Calibri" w:hAnsi="Calibri" w:cs="Calibri"/>
        </w:rPr>
      </w:pPr>
    </w:p>
    <w:p w:rsidR="00E61EFF" w:rsidRPr="00CE2788" w:rsidRDefault="00E61EFF" w:rsidP="00E61EFF">
      <w:pPr>
        <w:spacing w:line="360" w:lineRule="auto"/>
        <w:jc w:val="both"/>
        <w:rPr>
          <w:rFonts w:ascii="Calibri" w:hAnsi="Calibri" w:cs="Calibri"/>
        </w:rPr>
      </w:pPr>
      <w:r w:rsidRPr="00CE2788">
        <w:rPr>
          <w:rFonts w:ascii="Calibri" w:hAnsi="Calibri" w:cs="Calibri"/>
          <w:b/>
          <w:bCs/>
          <w:lang w:val="en"/>
        </w:rPr>
        <w:t xml:space="preserve">Results: </w:t>
      </w:r>
      <w:r w:rsidRPr="00CE2788">
        <w:rPr>
          <w:rFonts w:ascii="Calibri" w:hAnsi="Calibri" w:cs="Calibri"/>
        </w:rPr>
        <w:t xml:space="preserve">A total of 658 subjects were interviewed of which 68% were female and 32% were male; 72% reported a positive past-history of acne. The most common acne type described was </w:t>
      </w:r>
      <w:proofErr w:type="spellStart"/>
      <w:r>
        <w:rPr>
          <w:rFonts w:ascii="Calibri" w:hAnsi="Calibri" w:cs="Calibri"/>
        </w:rPr>
        <w:t>c</w:t>
      </w:r>
      <w:r w:rsidRPr="00CE2788">
        <w:rPr>
          <w:rFonts w:ascii="Calibri" w:hAnsi="Calibri" w:cs="Calibri"/>
        </w:rPr>
        <w:t>omedonal</w:t>
      </w:r>
      <w:proofErr w:type="spellEnd"/>
      <w:r w:rsidRPr="00CE2788">
        <w:rPr>
          <w:rFonts w:ascii="Calibri" w:hAnsi="Calibri" w:cs="Calibri"/>
        </w:rPr>
        <w:t>, and “face” was the site most frequently affected (90.7%). Among all acne sufferers, 77% admitted using CAM. Honey was the most common CAM type used by 53.4%, followed by yogurt (43.4%). Both gender (P = 0.0001) and past history of side effects to medical treatment (P = 0.007) were associated with CAM use, but the levels of education were not r</w:t>
      </w:r>
      <w:bookmarkStart w:id="0" w:name="_GoBack"/>
      <w:bookmarkEnd w:id="0"/>
      <w:r w:rsidRPr="00CE2788">
        <w:rPr>
          <w:rFonts w:ascii="Calibri" w:hAnsi="Calibri" w:cs="Calibri"/>
        </w:rPr>
        <w:t xml:space="preserve">elated to the use </w:t>
      </w:r>
      <w:r w:rsidRPr="00CE2788">
        <w:rPr>
          <w:rFonts w:ascii="Calibri" w:hAnsi="Calibri" w:cs="Calibri"/>
        </w:rPr>
        <w:t>of CAM. A score scale from 1 to 10 for the participant’s satisfaction showed that the mean score of CAM users was 4.8 versus 5.1 for prescribed medicine</w:t>
      </w:r>
      <w:r>
        <w:rPr>
          <w:rFonts w:ascii="Calibri" w:hAnsi="Calibri" w:cs="Calibri"/>
        </w:rPr>
        <w:t xml:space="preserve"> users</w:t>
      </w:r>
      <w:r w:rsidRPr="00CE2788">
        <w:rPr>
          <w:rFonts w:ascii="Calibri" w:hAnsi="Calibri" w:cs="Calibri"/>
        </w:rPr>
        <w:t xml:space="preserve">. </w:t>
      </w:r>
    </w:p>
    <w:p w:rsidR="00E61EFF" w:rsidRPr="00CE2788" w:rsidRDefault="00E61EFF" w:rsidP="00E61EFF">
      <w:pPr>
        <w:spacing w:line="360" w:lineRule="auto"/>
        <w:jc w:val="both"/>
        <w:rPr>
          <w:rFonts w:ascii="Calibri" w:hAnsi="Calibri" w:cs="Calibri"/>
          <w:b/>
          <w:bCs/>
        </w:rPr>
      </w:pPr>
    </w:p>
    <w:p w:rsidR="00E61EFF" w:rsidRPr="00CE2788" w:rsidRDefault="00E61EFF" w:rsidP="00E61EFF">
      <w:pPr>
        <w:spacing w:line="360" w:lineRule="auto"/>
        <w:jc w:val="both"/>
        <w:rPr>
          <w:rFonts w:ascii="Calibri" w:hAnsi="Calibri" w:cs="Calibri"/>
        </w:rPr>
      </w:pPr>
      <w:r w:rsidRPr="00CE2788">
        <w:rPr>
          <w:rFonts w:ascii="Calibri" w:hAnsi="Calibri" w:cs="Calibri"/>
          <w:b/>
          <w:bCs/>
          <w:lang w:val="en"/>
        </w:rPr>
        <w:t>Conclusions:</w:t>
      </w:r>
      <w:r w:rsidRPr="00CE2788">
        <w:rPr>
          <w:rFonts w:ascii="Calibri" w:hAnsi="Calibri" w:cs="Calibri"/>
        </w:rPr>
        <w:t xml:space="preserve"> CAM users were mainly middle-aged females; their high levels of education did not lower the CAM adoption rates. Their choices could have been driven by cultural beliefs and boundaries embedded in the community.</w:t>
      </w:r>
    </w:p>
    <w:p w:rsidR="00AE3E37" w:rsidRDefault="00A9710C">
      <w:pPr>
        <w:pStyle w:val="3"/>
        <w:spacing w:before="74"/>
      </w:pPr>
      <w:r>
        <w:rPr>
          <w:b w:val="0"/>
        </w:rPr>
        <w:br w:type="column"/>
      </w:r>
      <w:r>
        <w:rPr>
          <w:color w:val="BF5A14"/>
        </w:rPr>
        <w:lastRenderedPageBreak/>
        <w:t>Image</w:t>
      </w:r>
    </w:p>
    <w:p w:rsidR="00AE3E37" w:rsidRDefault="00E61EFF">
      <w:pPr>
        <w:pStyle w:val="a3"/>
        <w:spacing w:before="2"/>
        <w:rPr>
          <w:rFonts w:ascii="Arial"/>
          <w:b/>
          <w:sz w:val="16"/>
        </w:rPr>
      </w:pPr>
      <w:r w:rsidRPr="00CE2788">
        <w:rPr>
          <w:rFonts w:ascii="Calibri" w:hAnsi="Calibri" w:cs="Calibri"/>
          <w:noProof/>
          <w:kern w:val="36"/>
          <w:sz w:val="28"/>
          <w:szCs w:val="28"/>
        </w:rPr>
        <w:drawing>
          <wp:inline distT="0" distB="0" distL="0" distR="0" wp14:anchorId="765E479E" wp14:editId="19EE827E">
            <wp:extent cx="3165475" cy="1991524"/>
            <wp:effectExtent l="0" t="0" r="15875" b="889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E61EFF" w:rsidRPr="00E61EFF" w:rsidRDefault="00E61EFF" w:rsidP="00E61EFF">
      <w:pPr>
        <w:rPr>
          <w:rFonts w:ascii="Calibri" w:hAnsi="Calibri" w:cs="Calibri"/>
          <w:b/>
          <w:i/>
        </w:rPr>
      </w:pPr>
      <w:r w:rsidRPr="00B50BAC">
        <w:rPr>
          <w:rFonts w:ascii="Calibri" w:hAnsi="Calibri" w:cs="Calibri"/>
          <w:b/>
          <w:i/>
        </w:rPr>
        <w:t>Figure 3 .Most common types/remedies</w:t>
      </w:r>
      <w:r>
        <w:rPr>
          <w:rFonts w:ascii="Calibri" w:hAnsi="Calibri" w:cs="Calibri"/>
          <w:b/>
          <w:i/>
        </w:rPr>
        <w:t xml:space="preserve"> of CAM used </w:t>
      </w:r>
    </w:p>
    <w:p w:rsidR="005973B9" w:rsidRDefault="005973B9" w:rsidP="00E61EFF">
      <w:pPr>
        <w:spacing w:line="204" w:lineRule="exact"/>
        <w:rPr>
          <w:rFonts w:ascii="Arial"/>
          <w:b/>
          <w:sz w:val="20"/>
        </w:rPr>
      </w:pPr>
      <w:r>
        <w:rPr>
          <w:rFonts w:ascii="Arial"/>
          <w:b/>
          <w:color w:val="BF5A14"/>
          <w:sz w:val="20"/>
        </w:rPr>
        <w:br/>
      </w:r>
      <w:r w:rsidR="00E61EFF">
        <w:rPr>
          <w:rFonts w:ascii="Arial"/>
          <w:b/>
          <w:color w:val="BF5A14"/>
          <w:sz w:val="20"/>
        </w:rPr>
        <w:t xml:space="preserve">Recent Publications </w:t>
      </w:r>
    </w:p>
    <w:p w:rsidR="00E61EFF" w:rsidRDefault="00E61EFF" w:rsidP="00E61EFF">
      <w:pPr>
        <w:pStyle w:val="a4"/>
        <w:tabs>
          <w:tab w:val="left" w:pos="384"/>
        </w:tabs>
        <w:spacing w:line="216" w:lineRule="exact"/>
        <w:ind w:right="137" w:firstLine="0"/>
        <w:rPr>
          <w:rFonts w:ascii="Andalus" w:hAnsi="Andalus" w:cs="Andalus"/>
          <w:b/>
          <w:bCs/>
          <w:sz w:val="26"/>
          <w:szCs w:val="26"/>
        </w:rPr>
      </w:pPr>
    </w:p>
    <w:p w:rsidR="00471037" w:rsidRDefault="00471037" w:rsidP="00471037">
      <w:pPr>
        <w:pStyle w:val="a4"/>
        <w:widowControl/>
        <w:numPr>
          <w:ilvl w:val="0"/>
          <w:numId w:val="3"/>
        </w:numPr>
        <w:spacing w:before="0" w:line="360" w:lineRule="auto"/>
        <w:rPr>
          <w:rFonts w:ascii="Andalus" w:hAnsi="Andalus" w:cs="Andalus"/>
        </w:rPr>
      </w:pPr>
      <w:r w:rsidRPr="00471037">
        <w:rPr>
          <w:rFonts w:ascii="Andalus" w:hAnsi="Andalus" w:cs="Andalus"/>
        </w:rPr>
        <w:t>the Changes in the prevalence of influenza-like illness and influenza vaccine uptake among Hajj pilgrims a 10-year retrospective analysis of data in 2014.</w:t>
      </w:r>
      <w:r>
        <w:rPr>
          <w:rFonts w:ascii="Andalus" w:hAnsi="Andalus" w:cs="Andalus"/>
        </w:rPr>
        <w:t>p</w:t>
      </w:r>
      <w:r w:rsidR="00E61EFF" w:rsidRPr="00471037">
        <w:rPr>
          <w:rFonts w:ascii="Andalus" w:hAnsi="Andalus" w:cs="Andalus"/>
        </w:rPr>
        <w:t xml:space="preserve">ublished on </w:t>
      </w:r>
      <w:r w:rsidR="00E61EFF" w:rsidRPr="00471037">
        <w:rPr>
          <w:rFonts w:ascii="Andalus" w:hAnsi="Andalus" w:cs="Andalus"/>
          <w:i/>
          <w:iCs/>
        </w:rPr>
        <w:t xml:space="preserve">Vaccine </w:t>
      </w:r>
      <w:r w:rsidR="00E61EFF" w:rsidRPr="00471037">
        <w:rPr>
          <w:rFonts w:ascii="Andalus" w:hAnsi="Andalus" w:cs="Andalus"/>
        </w:rPr>
        <w:t xml:space="preserve">2015; </w:t>
      </w:r>
      <w:r w:rsidRPr="00471037">
        <w:rPr>
          <w:rFonts w:ascii="Andalus" w:hAnsi="Andalus" w:cs="Andalus"/>
        </w:rPr>
        <w:t xml:space="preserve">33(22):2562-2569: </w:t>
      </w:r>
    </w:p>
    <w:p w:rsidR="00471037" w:rsidRPr="00471037" w:rsidRDefault="00471037" w:rsidP="00471037">
      <w:pPr>
        <w:widowControl/>
        <w:spacing w:line="360" w:lineRule="auto"/>
        <w:ind w:left="99"/>
        <w:rPr>
          <w:rFonts w:ascii="Andalus" w:hAnsi="Andalus" w:cs="Andalus"/>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headerReference w:type="default" r:id="rId8"/>
          <w:footerReference w:type="default" r:id="rId9"/>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05258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E61EFF" w:rsidP="00E61EFF">
      <w:pPr>
        <w:spacing w:before="41" w:line="154" w:lineRule="exact"/>
        <w:ind w:left="213" w:right="231"/>
        <w:jc w:val="both"/>
        <w:rPr>
          <w:rFonts w:ascii="Arial"/>
          <w:sz w:val="14"/>
        </w:rPr>
      </w:pPr>
      <w:r>
        <w:rPr>
          <w:rFonts w:ascii="Arial"/>
          <w:sz w:val="14"/>
        </w:rPr>
        <w:t xml:space="preserve">DR Ahmad Ahmad is graduated doctor from king Abdul-Aziz university currently a medical resident at east Jeddah hospital in Jeddah, Saudi </w:t>
      </w:r>
      <w:proofErr w:type="gramStart"/>
      <w:r>
        <w:rPr>
          <w:rFonts w:ascii="Arial"/>
          <w:sz w:val="14"/>
        </w:rPr>
        <w:t>Arabia .</w:t>
      </w:r>
      <w:proofErr w:type="gramEnd"/>
      <w:r>
        <w:rPr>
          <w:rFonts w:ascii="Arial"/>
          <w:sz w:val="14"/>
        </w:rPr>
        <w:t xml:space="preserve"> He has quit the interest in dermatology and has been working on several researches in different medical facilities including papers on studies and case reports related mainly to dermatology </w:t>
      </w:r>
    </w:p>
    <w:p w:rsidR="00AE3E37" w:rsidRDefault="00E61EFF" w:rsidP="00E61EFF">
      <w:pPr>
        <w:spacing w:before="62"/>
        <w:ind w:left="4217" w:right="4235"/>
        <w:jc w:val="center"/>
        <w:rPr>
          <w:rFonts w:ascii="Arial"/>
          <w:sz w:val="14"/>
        </w:rPr>
      </w:pPr>
      <w:r>
        <w:rPr>
          <w:rFonts w:ascii="Arial"/>
          <w:sz w:val="14"/>
        </w:rPr>
        <w:t>.</w:t>
      </w:r>
      <w:r w:rsidR="00A9710C">
        <w:rPr>
          <w:rFonts w:ascii="Arial"/>
          <w:sz w:val="14"/>
        </w:rPr>
        <w:t xml:space="preserve">Email: </w:t>
      </w:r>
      <w:hyperlink r:id="rId11" w:history="1">
        <w:r w:rsidRPr="002C57E3">
          <w:rPr>
            <w:rStyle w:val="Hyperlink"/>
            <w:rFonts w:ascii="Arial"/>
            <w:sz w:val="14"/>
          </w:rPr>
          <w:t>e_thabet@hotmail.com</w:t>
        </w:r>
      </w:hyperlink>
    </w:p>
    <w:p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3A4DD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EAB" w:rsidRDefault="00900EAB">
      <w:r>
        <w:separator/>
      </w:r>
    </w:p>
  </w:endnote>
  <w:endnote w:type="continuationSeparator" w:id="0">
    <w:p w:rsidR="00900EAB" w:rsidRDefault="00900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EAB" w:rsidRDefault="00900EAB">
      <w:r>
        <w:separator/>
      </w:r>
    </w:p>
  </w:footnote>
  <w:footnote w:type="continuationSeparator" w:id="0">
    <w:p w:rsidR="00900EAB" w:rsidRDefault="00900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C052E"/>
    <w:multiLevelType w:val="hybridMultilevel"/>
    <w:tmpl w:val="D31ED7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B658CD"/>
    <w:multiLevelType w:val="hybridMultilevel"/>
    <w:tmpl w:val="107016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26EB7"/>
    <w:rsid w:val="00292ED9"/>
    <w:rsid w:val="00375307"/>
    <w:rsid w:val="003E1DC2"/>
    <w:rsid w:val="00404E5B"/>
    <w:rsid w:val="00414F7B"/>
    <w:rsid w:val="004355DC"/>
    <w:rsid w:val="00471037"/>
    <w:rsid w:val="004749B4"/>
    <w:rsid w:val="00494130"/>
    <w:rsid w:val="004F3523"/>
    <w:rsid w:val="005973B9"/>
    <w:rsid w:val="005B3A56"/>
    <w:rsid w:val="006060CE"/>
    <w:rsid w:val="006276A2"/>
    <w:rsid w:val="0063497F"/>
    <w:rsid w:val="00831D8D"/>
    <w:rsid w:val="00873DF0"/>
    <w:rsid w:val="008756E6"/>
    <w:rsid w:val="00900EAB"/>
    <w:rsid w:val="009B2D44"/>
    <w:rsid w:val="00A07E82"/>
    <w:rsid w:val="00A9710C"/>
    <w:rsid w:val="00AE3E37"/>
    <w:rsid w:val="00B21A57"/>
    <w:rsid w:val="00B828C7"/>
    <w:rsid w:val="00C33602"/>
    <w:rsid w:val="00CD6F55"/>
    <w:rsid w:val="00DE3104"/>
    <w:rsid w:val="00E61EF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10EC9E"/>
  <w15:docId w15:val="{833274B6-DAC2-420F-A7B3-EA36CE9F5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_thabet@hotmail.com"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Series 1</c:v>
                </c:pt>
              </c:strCache>
            </c:strRef>
          </c:tx>
          <c:spPr>
            <a:solidFill>
              <a:srgbClr val="5B9BD5"/>
            </a:solidFill>
            <a:ln w="25387">
              <a:noFill/>
            </a:ln>
          </c:spPr>
          <c:invertIfNegative val="0"/>
          <c:dLbls>
            <c:spPr>
              <a:noFill/>
              <a:ln w="25387">
                <a:noFill/>
              </a:ln>
            </c:spPr>
            <c:txPr>
              <a:bodyPr rot="0" spcFirstLastPara="1" vertOverflow="ellipsis" vert="horz" wrap="square" lIns="38100" tIns="19050" rIns="38100" bIns="19050" anchor="ctr" anchorCtr="1">
                <a:spAutoFit/>
              </a:bodyPr>
              <a:lstStyle/>
              <a:p>
                <a:pPr>
                  <a:defRPr sz="999" b="1" i="0" u="none" strike="noStrike" kern="1200" baseline="0">
                    <a:solidFill>
                      <a:schemeClr val="tx1">
                        <a:lumMod val="75000"/>
                        <a:lumOff val="25000"/>
                      </a:schemeClr>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Sheet1!$A$2:$A$13</c:f>
              <c:strCache>
                <c:ptCount val="12"/>
                <c:pt idx="0">
                  <c:v>Honey </c:v>
                </c:pt>
                <c:pt idx="1">
                  <c:v>Yogurt</c:v>
                </c:pt>
                <c:pt idx="2">
                  <c:v>Recipes</c:v>
                </c:pt>
                <c:pt idx="3">
                  <c:v>Lemon </c:v>
                </c:pt>
                <c:pt idx="4">
                  <c:v>Yeast </c:v>
                </c:pt>
                <c:pt idx="5">
                  <c:v>Egg</c:v>
                </c:pt>
                <c:pt idx="6">
                  <c:v>Papaya</c:v>
                </c:pt>
                <c:pt idx="7">
                  <c:v>Herbs </c:v>
                </c:pt>
                <c:pt idx="8">
                  <c:v>Apple cider vinegar </c:v>
                </c:pt>
                <c:pt idx="9">
                  <c:v>Others</c:v>
                </c:pt>
                <c:pt idx="10">
                  <c:v>Orange</c:v>
                </c:pt>
                <c:pt idx="11">
                  <c:v>Cinnamon </c:v>
                </c:pt>
              </c:strCache>
            </c:strRef>
          </c:cat>
          <c:val>
            <c:numRef>
              <c:f>Sheet1!$B$2:$B$13</c:f>
              <c:numCache>
                <c:formatCode>General</c:formatCode>
                <c:ptCount val="12"/>
                <c:pt idx="0">
                  <c:v>53.4</c:v>
                </c:pt>
                <c:pt idx="1">
                  <c:v>43.4</c:v>
                </c:pt>
                <c:pt idx="2">
                  <c:v>33</c:v>
                </c:pt>
                <c:pt idx="3">
                  <c:v>29.7</c:v>
                </c:pt>
                <c:pt idx="4">
                  <c:v>15</c:v>
                </c:pt>
                <c:pt idx="5">
                  <c:v>9.6999999999999993</c:v>
                </c:pt>
                <c:pt idx="6">
                  <c:v>9.6999999999999993</c:v>
                </c:pt>
                <c:pt idx="7">
                  <c:v>9.4</c:v>
                </c:pt>
                <c:pt idx="8">
                  <c:v>5.9</c:v>
                </c:pt>
                <c:pt idx="9">
                  <c:v>5.5</c:v>
                </c:pt>
                <c:pt idx="10">
                  <c:v>4.4000000000000004</c:v>
                </c:pt>
                <c:pt idx="11">
                  <c:v>2.5</c:v>
                </c:pt>
              </c:numCache>
            </c:numRef>
          </c:val>
          <c:extLst>
            <c:ext xmlns:c16="http://schemas.microsoft.com/office/drawing/2014/chart" uri="{C3380CC4-5D6E-409C-BE32-E72D297353CC}">
              <c16:uniqueId val="{00000000-A90F-4E8F-9857-F021FD84E655}"/>
            </c:ext>
          </c:extLst>
        </c:ser>
        <c:dLbls>
          <c:showLegendKey val="0"/>
          <c:showVal val="0"/>
          <c:showCatName val="0"/>
          <c:showSerName val="0"/>
          <c:showPercent val="0"/>
          <c:showBubbleSize val="0"/>
        </c:dLbls>
        <c:gapWidth val="219"/>
        <c:overlap val="-27"/>
        <c:axId val="252337520"/>
        <c:axId val="252339088"/>
      </c:barChart>
      <c:catAx>
        <c:axId val="252337520"/>
        <c:scaling>
          <c:orientation val="minMax"/>
        </c:scaling>
        <c:delete val="0"/>
        <c:axPos val="b"/>
        <c:numFmt formatCode="General" sourceLinked="1"/>
        <c:majorTickMark val="none"/>
        <c:minorTickMark val="none"/>
        <c:tickLblPos val="nextTo"/>
        <c:spPr>
          <a:noFill/>
          <a:ln w="9520" cap="flat" cmpd="sng" algn="ctr">
            <a:solidFill>
              <a:schemeClr val="tx1">
                <a:lumMod val="15000"/>
                <a:lumOff val="85000"/>
              </a:schemeClr>
            </a:solidFill>
            <a:round/>
          </a:ln>
          <a:effectLst/>
        </c:spPr>
        <c:txPr>
          <a:bodyPr rot="-60000000" spcFirstLastPara="1" vertOverflow="ellipsis" vert="horz" wrap="square" anchor="ctr" anchorCtr="1"/>
          <a:lstStyle/>
          <a:p>
            <a:pPr>
              <a:defRPr sz="999" b="1" i="0" u="none" strike="noStrike" kern="1200" baseline="0">
                <a:solidFill>
                  <a:schemeClr val="tx1">
                    <a:lumMod val="65000"/>
                    <a:lumOff val="35000"/>
                  </a:schemeClr>
                </a:solidFill>
                <a:latin typeface="Garamond" panose="02020404030301010803" pitchFamily="18" charset="0"/>
                <a:ea typeface="+mn-ea"/>
                <a:cs typeface="+mn-cs"/>
              </a:defRPr>
            </a:pPr>
            <a:endParaRPr lang="en-US"/>
          </a:p>
        </c:txPr>
        <c:crossAx val="252339088"/>
        <c:crosses val="autoZero"/>
        <c:auto val="1"/>
        <c:lblAlgn val="ctr"/>
        <c:lblOffset val="100"/>
        <c:noMultiLvlLbl val="0"/>
      </c:catAx>
      <c:valAx>
        <c:axId val="252339088"/>
        <c:scaling>
          <c:orientation val="minMax"/>
        </c:scaling>
        <c:delete val="0"/>
        <c:axPos val="l"/>
        <c:majorGridlines>
          <c:spPr>
            <a:ln w="9520" cap="flat" cmpd="sng" algn="ctr">
              <a:solidFill>
                <a:schemeClr val="tx1">
                  <a:lumMod val="15000"/>
                  <a:lumOff val="85000"/>
                </a:schemeClr>
              </a:solidFill>
              <a:round/>
            </a:ln>
            <a:effectLst/>
          </c:spPr>
        </c:majorGridlines>
        <c:numFmt formatCode="General" sourceLinked="0"/>
        <c:majorTickMark val="none"/>
        <c:minorTickMark val="none"/>
        <c:tickLblPos val="nextTo"/>
        <c:spPr>
          <a:ln w="6347">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Garamond" panose="02020404030301010803" pitchFamily="18" charset="0"/>
                <a:ea typeface="+mn-ea"/>
                <a:cs typeface="+mn-cs"/>
              </a:defRPr>
            </a:pPr>
            <a:endParaRPr lang="en-US"/>
          </a:p>
        </c:txPr>
        <c:crossAx val="252337520"/>
        <c:crosses val="autoZero"/>
        <c:crossBetween val="between"/>
        <c:majorUnit val="20"/>
      </c:valAx>
      <c:spPr>
        <a:noFill/>
        <a:ln w="25387">
          <a:noFill/>
        </a:ln>
      </c:spPr>
    </c:plotArea>
    <c:plotVisOnly val="1"/>
    <c:dispBlanksAs val="gap"/>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2</Pages>
  <Words>403</Words>
  <Characters>2300</Characters>
  <Application>Microsoft Office Word</Application>
  <DocSecurity>0</DocSecurity>
  <Lines>19</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thabet</cp:lastModifiedBy>
  <cp:revision>2</cp:revision>
  <dcterms:created xsi:type="dcterms:W3CDTF">2017-07-19T20:04:00Z</dcterms:created>
  <dcterms:modified xsi:type="dcterms:W3CDTF">2017-07-19T20:04:00Z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