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831" w:rsidRPr="009A274F" w:rsidRDefault="00711831" w:rsidP="00711831">
      <w:pPr>
        <w:rPr>
          <w:b/>
        </w:rPr>
      </w:pPr>
      <w:r w:rsidRPr="009A274F">
        <w:rPr>
          <w:b/>
        </w:rPr>
        <w:t>Efficacy and safety</w:t>
      </w:r>
      <w:r w:rsidR="00091826" w:rsidRPr="009A274F">
        <w:rPr>
          <w:b/>
        </w:rPr>
        <w:t xml:space="preserve"> of Terbinafine 500mg per day</w:t>
      </w:r>
      <w:r w:rsidRPr="009A274F">
        <w:rPr>
          <w:b/>
        </w:rPr>
        <w:t xml:space="preserve"> in patients with dermatomycoses: A retrospective survey</w:t>
      </w:r>
      <w:bookmarkStart w:id="0" w:name="_GoBack"/>
      <w:bookmarkEnd w:id="0"/>
    </w:p>
    <w:p w:rsidR="00595E50" w:rsidRDefault="00595E50" w:rsidP="00711831">
      <w:pPr>
        <w:rPr>
          <w:b/>
        </w:rPr>
      </w:pPr>
      <w:r>
        <w:rPr>
          <w:b/>
        </w:rPr>
        <w:t>Dr Dhiraj Dhoot</w:t>
      </w:r>
    </w:p>
    <w:p w:rsidR="00595E50" w:rsidRDefault="00595E50" w:rsidP="00711831">
      <w:pPr>
        <w:rPr>
          <w:b/>
        </w:rPr>
      </w:pPr>
      <w:proofErr w:type="gramStart"/>
      <w:r>
        <w:rPr>
          <w:b/>
        </w:rPr>
        <w:t xml:space="preserve">Manager, Medical services, </w:t>
      </w:r>
      <w:r w:rsidRPr="00595E50">
        <w:rPr>
          <w:b/>
        </w:rPr>
        <w:t>Glenmark Pharmaceuticals Ltd</w:t>
      </w:r>
      <w:r>
        <w:rPr>
          <w:b/>
        </w:rPr>
        <w:t>, India.</w:t>
      </w:r>
      <w:proofErr w:type="gramEnd"/>
    </w:p>
    <w:p w:rsidR="00711831" w:rsidRDefault="00711831" w:rsidP="00711831">
      <w:pPr>
        <w:rPr>
          <w:b/>
          <w:bCs/>
        </w:rPr>
      </w:pPr>
      <w:r w:rsidRPr="00711831">
        <w:rPr>
          <w:b/>
          <w:bCs/>
        </w:rPr>
        <w:t>Abstract</w:t>
      </w:r>
      <w:r>
        <w:rPr>
          <w:b/>
          <w:bCs/>
        </w:rPr>
        <w:t>:</w:t>
      </w:r>
    </w:p>
    <w:p w:rsidR="00711831" w:rsidRDefault="00711831" w:rsidP="00711831">
      <w:pPr>
        <w:rPr>
          <w:b/>
          <w:bCs/>
        </w:rPr>
      </w:pPr>
      <w:r>
        <w:rPr>
          <w:b/>
          <w:bCs/>
        </w:rPr>
        <w:t xml:space="preserve">Statement of the problem: </w:t>
      </w:r>
    </w:p>
    <w:p w:rsidR="00711831" w:rsidRDefault="00711831" w:rsidP="00711831">
      <w:pPr>
        <w:rPr>
          <w:bCs/>
        </w:rPr>
      </w:pPr>
      <w:r w:rsidRPr="00711831">
        <w:rPr>
          <w:bCs/>
        </w:rPr>
        <w:t>Dermatomycoses are the most common fungal infections globally.</w:t>
      </w:r>
      <w:r w:rsidR="00387170">
        <w:rPr>
          <w:bCs/>
        </w:rPr>
        <w:t xml:space="preserve"> </w:t>
      </w:r>
      <w:r w:rsidR="00000C15">
        <w:rPr>
          <w:bCs/>
        </w:rPr>
        <w:t>Both,</w:t>
      </w:r>
      <w:r w:rsidR="00387170" w:rsidRPr="00387170">
        <w:rPr>
          <w:bCs/>
        </w:rPr>
        <w:t xml:space="preserve"> topical and systemic </w:t>
      </w:r>
      <w:r w:rsidR="00000C15">
        <w:rPr>
          <w:bCs/>
        </w:rPr>
        <w:t>antifungals are used to treat dermatomycoses</w:t>
      </w:r>
      <w:r w:rsidR="00387170">
        <w:rPr>
          <w:bCs/>
        </w:rPr>
        <w:t xml:space="preserve">. </w:t>
      </w:r>
      <w:r w:rsidR="00387170" w:rsidRPr="00387170">
        <w:rPr>
          <w:bCs/>
        </w:rPr>
        <w:t>However, recently, clinical failure and relapses have been observed with terbinafine i</w:t>
      </w:r>
      <w:r w:rsidR="00000C15">
        <w:rPr>
          <w:bCs/>
        </w:rPr>
        <w:t>n patients with dermatomycoses</w:t>
      </w:r>
      <w:r w:rsidR="00387170">
        <w:rPr>
          <w:bCs/>
          <w:vertAlign w:val="superscript"/>
        </w:rPr>
        <w:t xml:space="preserve"> </w:t>
      </w:r>
      <w:r w:rsidR="00387170" w:rsidRPr="00387170">
        <w:rPr>
          <w:bCs/>
        </w:rPr>
        <w:t>with increase in incidence of Terbinafine resistance</w:t>
      </w:r>
      <w:r w:rsidR="001C4023">
        <w:rPr>
          <w:bCs/>
        </w:rPr>
        <w:t xml:space="preserve"> in India</w:t>
      </w:r>
      <w:r w:rsidR="00387170" w:rsidRPr="00387170">
        <w:rPr>
          <w:bCs/>
        </w:rPr>
        <w:t>.</w:t>
      </w:r>
      <w:r w:rsidR="00387170">
        <w:rPr>
          <w:bCs/>
        </w:rPr>
        <w:t xml:space="preserve"> </w:t>
      </w:r>
      <w:r w:rsidR="00387170" w:rsidRPr="00387170">
        <w:rPr>
          <w:bCs/>
        </w:rPr>
        <w:t xml:space="preserve">The principle reasons may </w:t>
      </w:r>
      <w:r w:rsidR="00387170">
        <w:rPr>
          <w:bCs/>
        </w:rPr>
        <w:t xml:space="preserve">include low plasma concentration </w:t>
      </w:r>
      <w:r w:rsidR="00387170" w:rsidRPr="00387170">
        <w:rPr>
          <w:bCs/>
        </w:rPr>
        <w:t>and incomplete cure</w:t>
      </w:r>
      <w:r w:rsidR="001C4023">
        <w:rPr>
          <w:bCs/>
          <w:vertAlign w:val="superscript"/>
        </w:rPr>
        <w:t xml:space="preserve"> </w:t>
      </w:r>
      <w:r w:rsidR="00387170" w:rsidRPr="00387170">
        <w:rPr>
          <w:bCs/>
        </w:rPr>
        <w:t>which are very common following 2 weeks therapy with 250mg/day of Terbinafine.</w:t>
      </w:r>
      <w:r w:rsidR="00387170">
        <w:rPr>
          <w:bCs/>
        </w:rPr>
        <w:t xml:space="preserve"> </w:t>
      </w:r>
      <w:r w:rsidR="00387170" w:rsidRPr="00387170">
        <w:rPr>
          <w:bCs/>
        </w:rPr>
        <w:t>Hence there was need for different treatment strategy while using terbinafine. We conducted this survey with the aim of evaluating the efficacy and safety of te</w:t>
      </w:r>
      <w:r w:rsidR="001C4023">
        <w:rPr>
          <w:bCs/>
        </w:rPr>
        <w:t>rbinafine 500mg/day</w:t>
      </w:r>
      <w:r w:rsidR="00387170" w:rsidRPr="00387170">
        <w:rPr>
          <w:bCs/>
        </w:rPr>
        <w:t xml:space="preserve"> in treatment of patients with dermatomycoses.</w:t>
      </w:r>
    </w:p>
    <w:p w:rsidR="00387170" w:rsidRDefault="00387170" w:rsidP="00711831">
      <w:pPr>
        <w:rPr>
          <w:b/>
          <w:bCs/>
        </w:rPr>
      </w:pPr>
      <w:r>
        <w:rPr>
          <w:b/>
          <w:bCs/>
        </w:rPr>
        <w:t>Materials and M</w:t>
      </w:r>
      <w:r w:rsidRPr="00387170">
        <w:rPr>
          <w:b/>
          <w:bCs/>
        </w:rPr>
        <w:t>ethods:</w:t>
      </w:r>
    </w:p>
    <w:p w:rsidR="006A494E" w:rsidRPr="006A494E" w:rsidRDefault="006A494E" w:rsidP="006A494E">
      <w:pPr>
        <w:rPr>
          <w:bCs/>
        </w:rPr>
      </w:pPr>
      <w:r w:rsidRPr="006A494E">
        <w:rPr>
          <w:bCs/>
        </w:rPr>
        <w:t xml:space="preserve">It was a retrospective questionnaire based survey. </w:t>
      </w:r>
      <w:r w:rsidR="001C4023" w:rsidRPr="001C4023">
        <w:rPr>
          <w:bCs/>
        </w:rPr>
        <w:t>Dermat</w:t>
      </w:r>
      <w:r w:rsidR="001379E8">
        <w:rPr>
          <w:bCs/>
        </w:rPr>
        <w:t xml:space="preserve">ologists </w:t>
      </w:r>
      <w:r w:rsidR="001C4023" w:rsidRPr="001C4023">
        <w:rPr>
          <w:bCs/>
        </w:rPr>
        <w:t>involved in the management of superficial fungal infections</w:t>
      </w:r>
      <w:r w:rsidR="001379E8">
        <w:rPr>
          <w:bCs/>
        </w:rPr>
        <w:t xml:space="preserve"> and</w:t>
      </w:r>
      <w:r w:rsidR="001379E8" w:rsidRPr="001379E8">
        <w:rPr>
          <w:bCs/>
        </w:rPr>
        <w:t xml:space="preserve"> maintaining the patients’ clinical record</w:t>
      </w:r>
      <w:r w:rsidR="001C4023" w:rsidRPr="001C4023">
        <w:rPr>
          <w:bCs/>
        </w:rPr>
        <w:t xml:space="preserve"> were identified through “SCRIP intelligence” database.</w:t>
      </w:r>
      <w:r w:rsidR="001379E8">
        <w:rPr>
          <w:bCs/>
        </w:rPr>
        <w:t xml:space="preserve"> </w:t>
      </w:r>
      <w:r w:rsidRPr="006A494E">
        <w:rPr>
          <w:bCs/>
        </w:rPr>
        <w:t>Each doctor was given survey questionnaire booklet containing survey forms. Clinical response was graded according to the improvement in the affected lesion. Mycological cure was defined as negative microscopy under KOH examination and a negative culture in Sabouraud’s dextrose agar. Patients were divided in to three groups depending on the duration of therapy, group A – Terbinafine 500mg for 2 weeks, group B – Terbinafine 500mg for 4 weeks and group C – Terbinafine 500mg for 6 weeks.</w:t>
      </w:r>
    </w:p>
    <w:p w:rsidR="006A494E" w:rsidRDefault="006A494E" w:rsidP="006A494E">
      <w:pPr>
        <w:rPr>
          <w:b/>
          <w:bCs/>
        </w:rPr>
      </w:pPr>
      <w:r w:rsidRPr="006A494E">
        <w:rPr>
          <w:b/>
          <w:bCs/>
        </w:rPr>
        <w:t xml:space="preserve">Result: </w:t>
      </w:r>
    </w:p>
    <w:p w:rsidR="006A494E" w:rsidRPr="006A494E" w:rsidRDefault="006A494E" w:rsidP="006A494E">
      <w:pPr>
        <w:rPr>
          <w:bCs/>
        </w:rPr>
      </w:pPr>
      <w:r w:rsidRPr="006A494E">
        <w:rPr>
          <w:bCs/>
        </w:rPr>
        <w:t>Total 50 doctors completed the survey involving 440 patients. In group A</w:t>
      </w:r>
      <w:r w:rsidR="001379E8">
        <w:rPr>
          <w:bCs/>
        </w:rPr>
        <w:t>,</w:t>
      </w:r>
      <w:r w:rsidRPr="006A494E">
        <w:rPr>
          <w:bCs/>
        </w:rPr>
        <w:t xml:space="preserve"> out of 194 patients, 87% (n=169) patients showed very good response. In group B</w:t>
      </w:r>
      <w:r w:rsidR="001379E8">
        <w:rPr>
          <w:bCs/>
        </w:rPr>
        <w:t>,</w:t>
      </w:r>
      <w:r w:rsidRPr="006A494E">
        <w:rPr>
          <w:bCs/>
        </w:rPr>
        <w:t xml:space="preserve"> out of 211 patients, 92% (n=194) of the patients showed very good response with &gt;75% improvement in their lesion. In group C out of 35 patients, 80% (n=30) patients showed very good response</w:t>
      </w:r>
      <w:r w:rsidR="00EC016F">
        <w:rPr>
          <w:bCs/>
        </w:rPr>
        <w:t xml:space="preserve"> (Fig. 1)</w:t>
      </w:r>
      <w:r w:rsidRPr="006A494E">
        <w:rPr>
          <w:bCs/>
        </w:rPr>
        <w:t>. ADRs of mild to moderate intensity related to Terbinafine were seen in 57 patients</w:t>
      </w:r>
      <w:r w:rsidR="00EC016F">
        <w:rPr>
          <w:bCs/>
        </w:rPr>
        <w:t xml:space="preserve"> (Fig.2)</w:t>
      </w:r>
      <w:r w:rsidRPr="006A494E">
        <w:rPr>
          <w:bCs/>
        </w:rPr>
        <w:t>.</w:t>
      </w:r>
    </w:p>
    <w:p w:rsidR="006A494E" w:rsidRDefault="006A494E" w:rsidP="006A494E">
      <w:pPr>
        <w:rPr>
          <w:b/>
          <w:bCs/>
        </w:rPr>
      </w:pPr>
      <w:r w:rsidRPr="006A494E">
        <w:rPr>
          <w:b/>
          <w:bCs/>
        </w:rPr>
        <w:t xml:space="preserve">Conclusion:  </w:t>
      </w:r>
    </w:p>
    <w:p w:rsidR="006A494E" w:rsidRPr="006A494E" w:rsidRDefault="006A494E" w:rsidP="006A494E">
      <w:pPr>
        <w:rPr>
          <w:bCs/>
        </w:rPr>
      </w:pPr>
      <w:r w:rsidRPr="006A494E">
        <w:rPr>
          <w:bCs/>
        </w:rPr>
        <w:t>Our survey indicates that t</w:t>
      </w:r>
      <w:r w:rsidR="001379E8">
        <w:rPr>
          <w:bCs/>
        </w:rPr>
        <w:t>erbinafine 500mg/day</w:t>
      </w:r>
      <w:r w:rsidRPr="006A494E">
        <w:rPr>
          <w:bCs/>
        </w:rPr>
        <w:t xml:space="preserve"> was efficacious and safe in the treatment of patients with dermatomycoses.</w:t>
      </w:r>
    </w:p>
    <w:p w:rsidR="006A494E" w:rsidRDefault="006A494E" w:rsidP="00711831">
      <w:pPr>
        <w:rPr>
          <w:b/>
          <w:bCs/>
        </w:rPr>
      </w:pPr>
    </w:p>
    <w:p w:rsidR="00EC016F" w:rsidRDefault="00EC016F" w:rsidP="00711831">
      <w:pPr>
        <w:rPr>
          <w:b/>
          <w:bCs/>
        </w:rPr>
      </w:pPr>
    </w:p>
    <w:p w:rsidR="00EC016F" w:rsidRDefault="00EC016F" w:rsidP="00EC016F">
      <w:pPr>
        <w:jc w:val="center"/>
        <w:rPr>
          <w:b/>
          <w:bCs/>
        </w:rPr>
      </w:pPr>
      <w:r>
        <w:rPr>
          <w:noProof/>
        </w:rPr>
        <w:lastRenderedPageBreak/>
        <w:drawing>
          <wp:inline distT="0" distB="0" distL="0" distR="0" wp14:anchorId="0C13868F" wp14:editId="641DCAED">
            <wp:extent cx="5076825" cy="2824163"/>
            <wp:effectExtent l="0" t="0" r="9525" b="146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EC016F" w:rsidRDefault="00EC016F" w:rsidP="00EC016F">
      <w:pPr>
        <w:jc w:val="center"/>
        <w:rPr>
          <w:b/>
          <w:bCs/>
        </w:rPr>
      </w:pPr>
      <w:r>
        <w:rPr>
          <w:b/>
          <w:bCs/>
        </w:rPr>
        <w:t>Fig. 1 – Efficacy - % of improvement in all groups</w:t>
      </w:r>
    </w:p>
    <w:p w:rsidR="00EC016F" w:rsidRDefault="00EC016F" w:rsidP="00EC016F">
      <w:pPr>
        <w:jc w:val="center"/>
        <w:rPr>
          <w:b/>
          <w:bCs/>
        </w:rPr>
      </w:pPr>
      <w:r w:rsidRPr="00EC016F">
        <w:rPr>
          <w:rFonts w:ascii="Cambria" w:eastAsia="Times New Roman" w:hAnsi="Cambria" w:cs="Times New Roman"/>
          <w:noProof/>
          <w:color w:val="000000"/>
          <w:sz w:val="24"/>
          <w:szCs w:val="24"/>
        </w:rPr>
        <w:drawing>
          <wp:inline distT="0" distB="0" distL="0" distR="0" wp14:anchorId="35140612" wp14:editId="5C39A865">
            <wp:extent cx="4533900" cy="22533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35589" cy="2303872"/>
                    </a:xfrm>
                    <a:prstGeom prst="rect">
                      <a:avLst/>
                    </a:prstGeom>
                    <a:noFill/>
                  </pic:spPr>
                </pic:pic>
              </a:graphicData>
            </a:graphic>
          </wp:inline>
        </w:drawing>
      </w:r>
    </w:p>
    <w:p w:rsidR="00EC016F" w:rsidRPr="00EC016F" w:rsidRDefault="00EC016F" w:rsidP="00EC016F">
      <w:pPr>
        <w:jc w:val="center"/>
        <w:rPr>
          <w:b/>
          <w:bCs/>
        </w:rPr>
      </w:pPr>
      <w:r>
        <w:rPr>
          <w:b/>
          <w:bCs/>
        </w:rPr>
        <w:t>Fig. 2</w:t>
      </w:r>
      <w:r w:rsidRPr="00EC016F">
        <w:rPr>
          <w:b/>
          <w:bCs/>
        </w:rPr>
        <w:t xml:space="preserve"> – </w:t>
      </w:r>
      <w:r>
        <w:rPr>
          <w:b/>
          <w:bCs/>
        </w:rPr>
        <w:t>Safety – Adverse events</w:t>
      </w:r>
    </w:p>
    <w:p w:rsidR="00EC016F" w:rsidRPr="00387170" w:rsidRDefault="00EC016F" w:rsidP="00EC016F">
      <w:pPr>
        <w:jc w:val="center"/>
        <w:rPr>
          <w:b/>
          <w:bCs/>
        </w:rPr>
      </w:pPr>
    </w:p>
    <w:p w:rsidR="00711831" w:rsidRPr="00EC567E" w:rsidRDefault="00EC567E" w:rsidP="00711831">
      <w:pPr>
        <w:rPr>
          <w:bCs/>
        </w:rPr>
      </w:pPr>
      <w:r w:rsidRPr="00EC567E">
        <w:rPr>
          <w:b/>
          <w:bCs/>
        </w:rPr>
        <w:t>Dr. Dhiraj Dhoot</w:t>
      </w:r>
      <w:r>
        <w:rPr>
          <w:b/>
          <w:bCs/>
        </w:rPr>
        <w:t xml:space="preserve"> </w:t>
      </w:r>
      <w:r>
        <w:rPr>
          <w:bCs/>
        </w:rPr>
        <w:t>is Manager, Medical Services in Glenmark Pharmaceuticals Ltd based in Mumbai in India. He heads all the divisions catering to dermatological and cosmoceuticals business in India. He had spent more than 4 years in Glenmark. He had done MD in Paediatrics.</w:t>
      </w:r>
    </w:p>
    <w:p w:rsidR="00711831" w:rsidRPr="00711831" w:rsidRDefault="00711831" w:rsidP="00711831">
      <w:pPr>
        <w:rPr>
          <w:b/>
        </w:rPr>
      </w:pPr>
    </w:p>
    <w:p w:rsidR="00FF4824" w:rsidRDefault="00FF4824"/>
    <w:sectPr w:rsidR="00FF4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831"/>
    <w:rsid w:val="00000C15"/>
    <w:rsid w:val="00077A65"/>
    <w:rsid w:val="00091826"/>
    <w:rsid w:val="000E56A9"/>
    <w:rsid w:val="001379E8"/>
    <w:rsid w:val="001C4023"/>
    <w:rsid w:val="0022130E"/>
    <w:rsid w:val="00387170"/>
    <w:rsid w:val="004D7516"/>
    <w:rsid w:val="00595E50"/>
    <w:rsid w:val="006A494E"/>
    <w:rsid w:val="00711831"/>
    <w:rsid w:val="009A274F"/>
    <w:rsid w:val="00A14C58"/>
    <w:rsid w:val="00EC016F"/>
    <w:rsid w:val="00EC567E"/>
    <w:rsid w:val="00FF4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1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1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1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1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Sheet1!$E$3</c:f>
              <c:strCache>
                <c:ptCount val="1"/>
                <c:pt idx="0">
                  <c:v>&gt;75% improvement</c:v>
                </c:pt>
              </c:strCache>
            </c:strRef>
          </c:tx>
          <c:invertIfNegative val="0"/>
          <c:dLbls>
            <c:dLbl>
              <c:idx val="0"/>
              <c:layout>
                <c:manualLayout>
                  <c:x val="2.2514071294559124E-2"/>
                  <c:y val="0"/>
                </c:manualLayout>
              </c:layout>
              <c:showLegendKey val="0"/>
              <c:showVal val="1"/>
              <c:showCatName val="0"/>
              <c:showSerName val="0"/>
              <c:showPercent val="0"/>
              <c:showBubbleSize val="0"/>
            </c:dLbl>
            <c:dLbl>
              <c:idx val="1"/>
              <c:layout>
                <c:manualLayout>
                  <c:x val="2.2514071294559145E-2"/>
                  <c:y val="0"/>
                </c:manualLayout>
              </c:layout>
              <c:showLegendKey val="0"/>
              <c:showVal val="1"/>
              <c:showCatName val="0"/>
              <c:showSerName val="0"/>
              <c:showPercent val="0"/>
              <c:showBubbleSize val="0"/>
            </c:dLbl>
            <c:dLbl>
              <c:idx val="2"/>
              <c:layout>
                <c:manualLayout>
                  <c:x val="1.7510944340212633E-2"/>
                  <c:y val="-1.3513513513513514E-2"/>
                </c:manualLayout>
              </c:layout>
              <c:showLegendKey val="0"/>
              <c:showVal val="1"/>
              <c:showCatName val="0"/>
              <c:showSerName val="0"/>
              <c:showPercent val="0"/>
              <c:showBubbleSize val="0"/>
            </c:dLbl>
            <c:txPr>
              <a:bodyPr/>
              <a:lstStyle/>
              <a:p>
                <a:pPr>
                  <a:defRPr sz="1100" b="1"/>
                </a:pPr>
                <a:endParaRPr lang="en-US"/>
              </a:p>
            </c:txPr>
            <c:showLegendKey val="0"/>
            <c:showVal val="1"/>
            <c:showCatName val="0"/>
            <c:showSerName val="0"/>
            <c:showPercent val="0"/>
            <c:showBubbleSize val="0"/>
            <c:showLeaderLines val="0"/>
          </c:dLbls>
          <c:cat>
            <c:strRef>
              <c:f>Sheet1!$D$4:$D$6</c:f>
              <c:strCache>
                <c:ptCount val="3"/>
                <c:pt idx="0">
                  <c:v>A</c:v>
                </c:pt>
                <c:pt idx="1">
                  <c:v>B</c:v>
                </c:pt>
                <c:pt idx="2">
                  <c:v>C</c:v>
                </c:pt>
              </c:strCache>
            </c:strRef>
          </c:cat>
          <c:val>
            <c:numRef>
              <c:f>Sheet1!$E$4:$E$6</c:f>
              <c:numCache>
                <c:formatCode>0%</c:formatCode>
                <c:ptCount val="3"/>
                <c:pt idx="0">
                  <c:v>0.87</c:v>
                </c:pt>
                <c:pt idx="1">
                  <c:v>0.92</c:v>
                </c:pt>
                <c:pt idx="2">
                  <c:v>0.8</c:v>
                </c:pt>
              </c:numCache>
            </c:numRef>
          </c:val>
        </c:ser>
        <c:ser>
          <c:idx val="1"/>
          <c:order val="1"/>
          <c:tx>
            <c:strRef>
              <c:f>Sheet1!$F$3</c:f>
              <c:strCache>
                <c:ptCount val="1"/>
                <c:pt idx="0">
                  <c:v>&gt;50%-75% improvement</c:v>
                </c:pt>
              </c:strCache>
            </c:strRef>
          </c:tx>
          <c:invertIfNegative val="0"/>
          <c:dLbls>
            <c:dLbl>
              <c:idx val="0"/>
              <c:layout>
                <c:manualLayout>
                  <c:x val="1.6666666666666666E-2"/>
                  <c:y val="8.4875562720133283E-17"/>
                </c:manualLayout>
              </c:layout>
              <c:showLegendKey val="0"/>
              <c:showVal val="1"/>
              <c:showCatName val="0"/>
              <c:showSerName val="0"/>
              <c:showPercent val="0"/>
              <c:showBubbleSize val="0"/>
            </c:dLbl>
            <c:dLbl>
              <c:idx val="1"/>
              <c:layout>
                <c:manualLayout>
                  <c:x val="1.9444444444444445E-2"/>
                  <c:y val="-1.3888888888888888E-2"/>
                </c:manualLayout>
              </c:layout>
              <c:showLegendKey val="0"/>
              <c:showVal val="1"/>
              <c:showCatName val="0"/>
              <c:showSerName val="0"/>
              <c:showPercent val="0"/>
              <c:showBubbleSize val="0"/>
            </c:dLbl>
            <c:txPr>
              <a:bodyPr/>
              <a:lstStyle/>
              <a:p>
                <a:pPr>
                  <a:defRPr sz="1100" b="1"/>
                </a:pPr>
                <a:endParaRPr lang="en-US"/>
              </a:p>
            </c:txPr>
            <c:showLegendKey val="0"/>
            <c:showVal val="1"/>
            <c:showCatName val="0"/>
            <c:showSerName val="0"/>
            <c:showPercent val="0"/>
            <c:showBubbleSize val="0"/>
            <c:showLeaderLines val="0"/>
          </c:dLbls>
          <c:cat>
            <c:strRef>
              <c:f>Sheet1!$D$4:$D$6</c:f>
              <c:strCache>
                <c:ptCount val="3"/>
                <c:pt idx="0">
                  <c:v>A</c:v>
                </c:pt>
                <c:pt idx="1">
                  <c:v>B</c:v>
                </c:pt>
                <c:pt idx="2">
                  <c:v>C</c:v>
                </c:pt>
              </c:strCache>
            </c:strRef>
          </c:cat>
          <c:val>
            <c:numRef>
              <c:f>Sheet1!$F$4:$F$6</c:f>
              <c:numCache>
                <c:formatCode>0%</c:formatCode>
                <c:ptCount val="3"/>
                <c:pt idx="0">
                  <c:v>0.1</c:v>
                </c:pt>
                <c:pt idx="1">
                  <c:v>0.08</c:v>
                </c:pt>
              </c:numCache>
            </c:numRef>
          </c:val>
        </c:ser>
        <c:dLbls>
          <c:showLegendKey val="0"/>
          <c:showVal val="1"/>
          <c:showCatName val="0"/>
          <c:showSerName val="0"/>
          <c:showPercent val="0"/>
          <c:showBubbleSize val="0"/>
        </c:dLbls>
        <c:gapWidth val="150"/>
        <c:shape val="box"/>
        <c:axId val="97935744"/>
        <c:axId val="97937280"/>
        <c:axId val="0"/>
      </c:bar3DChart>
      <c:catAx>
        <c:axId val="97935744"/>
        <c:scaling>
          <c:orientation val="minMax"/>
        </c:scaling>
        <c:delete val="0"/>
        <c:axPos val="b"/>
        <c:majorTickMark val="out"/>
        <c:minorTickMark val="none"/>
        <c:tickLblPos val="nextTo"/>
        <c:crossAx val="97937280"/>
        <c:crosses val="autoZero"/>
        <c:auto val="1"/>
        <c:lblAlgn val="ctr"/>
        <c:lblOffset val="100"/>
        <c:noMultiLvlLbl val="0"/>
      </c:catAx>
      <c:valAx>
        <c:axId val="97937280"/>
        <c:scaling>
          <c:orientation val="minMax"/>
        </c:scaling>
        <c:delete val="0"/>
        <c:axPos val="l"/>
        <c:majorGridlines/>
        <c:numFmt formatCode="0%" sourceLinked="1"/>
        <c:majorTickMark val="out"/>
        <c:minorTickMark val="none"/>
        <c:tickLblPos val="nextTo"/>
        <c:crossAx val="97935744"/>
        <c:crosses val="autoZero"/>
        <c:crossBetween val="between"/>
      </c:valAx>
    </c:plotArea>
    <c:legend>
      <c:legendPos val="r"/>
      <c:overlay val="0"/>
      <c:txPr>
        <a:bodyPr/>
        <a:lstStyle/>
        <a:p>
          <a:pPr>
            <a:defRPr sz="1100"/>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46</TotalTime>
  <Pages>2</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Dhiraj Dhoot</dc:creator>
  <cp:lastModifiedBy>Dr. Dhiraj Dhoot</cp:lastModifiedBy>
  <cp:revision>16</cp:revision>
  <dcterms:created xsi:type="dcterms:W3CDTF">2017-06-14T07:20:00Z</dcterms:created>
  <dcterms:modified xsi:type="dcterms:W3CDTF">2017-06-14T11:39:00Z</dcterms:modified>
</cp:coreProperties>
</file>