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A71C62" w:rsidRDefault="00A71C62" w:rsidP="00494130">
      <w:pPr>
        <w:pStyle w:val="1"/>
        <w:spacing w:before="170"/>
        <w:ind w:left="0"/>
        <w:rPr>
          <w:rFonts w:ascii="Calibri" w:eastAsiaTheme="minorEastAsia" w:hAnsi="Calibri" w:cs="Times New Roman"/>
          <w:lang w:eastAsia="ja-JP"/>
        </w:rPr>
      </w:pPr>
      <w:r w:rsidRPr="00A71C62">
        <w:rPr>
          <w:rFonts w:ascii="Calibri" w:hAnsi="Calibri" w:cs="Times New Roman"/>
          <w:color w:val="337AB7"/>
        </w:rPr>
        <w:t>P</w:t>
      </w:r>
      <w:r w:rsidR="00693E34" w:rsidRPr="00A71C62">
        <w:rPr>
          <w:rFonts w:ascii="Calibri" w:hAnsi="Calibri" w:cs="Times New Roman"/>
          <w:color w:val="337AB7"/>
        </w:rPr>
        <w:t>eripheral blood mononuclear cells</w:t>
      </w:r>
      <w:r w:rsidRPr="00A71C62">
        <w:rPr>
          <w:rFonts w:ascii="Calibri" w:hAnsi="Calibri" w:cs="Times New Roman"/>
          <w:color w:val="337AB7"/>
        </w:rPr>
        <w:t xml:space="preserve"> may contain a small amount of </w:t>
      </w:r>
      <w:r w:rsidRPr="00A71C62">
        <w:rPr>
          <w:rFonts w:ascii="Calibri" w:hAnsi="Calibri" w:cs="Times New Roman"/>
          <w:color w:val="337AB7"/>
        </w:rPr>
        <w:t>mesenchymal stem cells</w:t>
      </w:r>
      <w:r w:rsidRPr="00A71C62">
        <w:rPr>
          <w:rFonts w:ascii="Calibri" w:hAnsi="Calibri" w:cs="Times New Roman"/>
          <w:color w:val="337AB7"/>
        </w:rPr>
        <w:t xml:space="preserve"> which express type VII collagen</w:t>
      </w:r>
    </w:p>
    <w:p w:rsidR="00F70805" w:rsidRPr="00A71C62" w:rsidRDefault="00F70805" w:rsidP="00A71C62">
      <w:pPr>
        <w:pStyle w:val="a3"/>
        <w:spacing w:before="73"/>
        <w:ind w:right="58"/>
        <w:rPr>
          <w:rFonts w:ascii="Calibri" w:hAnsi="Calibri"/>
          <w:sz w:val="20"/>
          <w:szCs w:val="21"/>
        </w:rPr>
      </w:pPr>
      <w:r w:rsidRPr="00A71C62">
        <w:rPr>
          <w:rFonts w:ascii="Calibri" w:hAnsi="Calibri"/>
          <w:sz w:val="20"/>
          <w:szCs w:val="21"/>
        </w:rPr>
        <w:t>Eijiro Akasaka</w:t>
      </w:r>
      <w:r w:rsidR="005973B9" w:rsidRPr="00A71C62">
        <w:rPr>
          <w:rFonts w:ascii="Calibri" w:hAnsi="Calibri"/>
          <w:sz w:val="20"/>
          <w:szCs w:val="21"/>
        </w:rPr>
        <w:t xml:space="preserve">, </w:t>
      </w:r>
      <w:r w:rsidRPr="00A71C62">
        <w:rPr>
          <w:rFonts w:ascii="Calibri" w:hAnsi="Calibri"/>
          <w:sz w:val="20"/>
          <w:szCs w:val="21"/>
        </w:rPr>
        <w:t xml:space="preserve">M.D., </w:t>
      </w:r>
      <w:r w:rsidR="005973B9" w:rsidRPr="00A71C62">
        <w:rPr>
          <w:rFonts w:ascii="Calibri" w:hAnsi="Calibri"/>
          <w:sz w:val="20"/>
          <w:szCs w:val="21"/>
        </w:rPr>
        <w:t>Ph</w:t>
      </w:r>
      <w:r w:rsidRPr="00A71C62">
        <w:rPr>
          <w:rFonts w:ascii="Calibri" w:hAnsi="Calibri"/>
          <w:sz w:val="20"/>
          <w:szCs w:val="21"/>
        </w:rPr>
        <w:t>.</w:t>
      </w:r>
      <w:r w:rsidR="005973B9" w:rsidRPr="00A71C62">
        <w:rPr>
          <w:rFonts w:ascii="Calibri" w:hAnsi="Calibri"/>
          <w:sz w:val="20"/>
          <w:szCs w:val="21"/>
        </w:rPr>
        <w:t>D</w:t>
      </w:r>
      <w:r w:rsidRPr="00A71C62">
        <w:rPr>
          <w:rFonts w:ascii="Calibri" w:hAnsi="Calibri"/>
          <w:sz w:val="20"/>
          <w:szCs w:val="21"/>
        </w:rPr>
        <w:t>.</w:t>
      </w:r>
      <w:r w:rsidR="005973B9" w:rsidRPr="00A71C62">
        <w:rPr>
          <w:rFonts w:ascii="Calibri" w:hAnsi="Calibri"/>
          <w:sz w:val="20"/>
          <w:szCs w:val="21"/>
        </w:rPr>
        <w:t xml:space="preserve">, </w:t>
      </w:r>
      <w:r w:rsidR="002D5881" w:rsidRPr="00A71C62">
        <w:rPr>
          <w:rFonts w:ascii="Calibri" w:hAnsi="Calibri"/>
          <w:sz w:val="20"/>
          <w:szCs w:val="21"/>
        </w:rPr>
        <w:t>Departmen</w:t>
      </w:r>
      <w:r w:rsidRPr="00A71C62">
        <w:rPr>
          <w:rFonts w:ascii="Calibri" w:hAnsi="Calibri"/>
          <w:sz w:val="20"/>
          <w:szCs w:val="21"/>
        </w:rPr>
        <w:t xml:space="preserve">t of Dermatology, </w:t>
      </w:r>
      <w:proofErr w:type="spellStart"/>
      <w:r w:rsidRPr="00A71C62">
        <w:rPr>
          <w:rFonts w:ascii="Calibri" w:hAnsi="Calibri"/>
          <w:sz w:val="20"/>
          <w:szCs w:val="21"/>
        </w:rPr>
        <w:t>Hirosaki</w:t>
      </w:r>
      <w:proofErr w:type="spellEnd"/>
      <w:r w:rsidRPr="00A71C62">
        <w:rPr>
          <w:rFonts w:ascii="Calibri" w:hAnsi="Calibri"/>
          <w:sz w:val="20"/>
          <w:szCs w:val="21"/>
        </w:rPr>
        <w:t xml:space="preserve"> University Graduate School of Medicine, </w:t>
      </w:r>
      <w:proofErr w:type="spellStart"/>
      <w:r w:rsidRPr="00A71C62">
        <w:rPr>
          <w:rFonts w:ascii="Calibri" w:hAnsi="Calibri"/>
          <w:sz w:val="20"/>
          <w:szCs w:val="21"/>
        </w:rPr>
        <w:t>Hirosaki</w:t>
      </w:r>
      <w:proofErr w:type="spellEnd"/>
      <w:r w:rsidRPr="00A71C62">
        <w:rPr>
          <w:rFonts w:ascii="Calibri" w:hAnsi="Calibri"/>
          <w:sz w:val="20"/>
          <w:szCs w:val="21"/>
        </w:rPr>
        <w:t>, Japan</w:t>
      </w:r>
    </w:p>
    <w:p w:rsidR="00AE3E37" w:rsidRPr="00A71C62" w:rsidRDefault="00815344" w:rsidP="00A71C62">
      <w:pPr>
        <w:pStyle w:val="a3"/>
        <w:rPr>
          <w:rFonts w:ascii="Calibri" w:hAnsi="Calibri"/>
          <w:sz w:val="20"/>
          <w:szCs w:val="21"/>
        </w:rPr>
      </w:pPr>
      <w:r w:rsidRPr="00A71C62">
        <w:rPr>
          <w:rFonts w:ascii="Calibri" w:hAnsi="Calibri"/>
          <w:sz w:val="20"/>
          <w:szCs w:val="21"/>
        </w:rPr>
        <w:t xml:space="preserve">Hajime Nakano, </w:t>
      </w:r>
      <w:r w:rsidRPr="00A71C62">
        <w:rPr>
          <w:rFonts w:ascii="Calibri" w:hAnsi="Calibri"/>
          <w:sz w:val="20"/>
          <w:szCs w:val="21"/>
        </w:rPr>
        <w:t xml:space="preserve">M.D., Ph.D., </w:t>
      </w:r>
      <w:r w:rsidR="002D5881" w:rsidRPr="00A71C62">
        <w:rPr>
          <w:rFonts w:ascii="Calibri" w:hAnsi="Calibri"/>
          <w:sz w:val="20"/>
          <w:szCs w:val="21"/>
        </w:rPr>
        <w:t>Departmen</w:t>
      </w:r>
      <w:r w:rsidRPr="00A71C62">
        <w:rPr>
          <w:rFonts w:ascii="Calibri" w:hAnsi="Calibri"/>
          <w:sz w:val="20"/>
          <w:szCs w:val="21"/>
        </w:rPr>
        <w:t xml:space="preserve">t of Dermatology, </w:t>
      </w:r>
      <w:proofErr w:type="spellStart"/>
      <w:r w:rsidRPr="00A71C62">
        <w:rPr>
          <w:rFonts w:ascii="Calibri" w:hAnsi="Calibri"/>
          <w:sz w:val="20"/>
          <w:szCs w:val="21"/>
        </w:rPr>
        <w:t>Hirosaki</w:t>
      </w:r>
      <w:proofErr w:type="spellEnd"/>
      <w:r w:rsidRPr="00A71C62">
        <w:rPr>
          <w:rFonts w:ascii="Calibri" w:hAnsi="Calibri"/>
          <w:sz w:val="20"/>
          <w:szCs w:val="21"/>
        </w:rPr>
        <w:t xml:space="preserve"> University Graduate School of Medicine, </w:t>
      </w:r>
      <w:proofErr w:type="spellStart"/>
      <w:r w:rsidRPr="00A71C62">
        <w:rPr>
          <w:rFonts w:ascii="Calibri" w:hAnsi="Calibri"/>
          <w:sz w:val="20"/>
          <w:szCs w:val="21"/>
        </w:rPr>
        <w:t>Hirosaki</w:t>
      </w:r>
      <w:proofErr w:type="spellEnd"/>
      <w:r w:rsidRPr="00A71C62">
        <w:rPr>
          <w:rFonts w:ascii="Calibri" w:hAnsi="Calibri"/>
          <w:sz w:val="20"/>
          <w:szCs w:val="21"/>
        </w:rPr>
        <w:t>, Japan</w:t>
      </w:r>
    </w:p>
    <w:p w:rsidR="00A71C62" w:rsidRDefault="00815344" w:rsidP="00A71C62">
      <w:pPr>
        <w:pStyle w:val="a3"/>
        <w:spacing w:before="3"/>
        <w:rPr>
          <w:rFonts w:ascii="Calibri" w:hAnsi="Calibri"/>
          <w:sz w:val="20"/>
          <w:szCs w:val="21"/>
        </w:rPr>
      </w:pPr>
      <w:r w:rsidRPr="00A71C62">
        <w:rPr>
          <w:rFonts w:ascii="Calibri" w:eastAsiaTheme="minorEastAsia" w:hAnsi="Calibri"/>
          <w:sz w:val="20"/>
          <w:szCs w:val="21"/>
          <w:lang w:eastAsia="ja-JP"/>
        </w:rPr>
        <w:t xml:space="preserve">Daisuke </w:t>
      </w:r>
      <w:proofErr w:type="spellStart"/>
      <w:r w:rsidRPr="00A71C62">
        <w:rPr>
          <w:rFonts w:ascii="Calibri" w:eastAsiaTheme="minorEastAsia" w:hAnsi="Calibri"/>
          <w:sz w:val="20"/>
          <w:szCs w:val="21"/>
          <w:lang w:eastAsia="ja-JP"/>
        </w:rPr>
        <w:t>Sawamura</w:t>
      </w:r>
      <w:proofErr w:type="spellEnd"/>
      <w:r w:rsidRPr="00A71C62">
        <w:rPr>
          <w:rFonts w:ascii="Calibri" w:eastAsiaTheme="minorEastAsia" w:hAnsi="Calibri"/>
          <w:sz w:val="20"/>
          <w:szCs w:val="21"/>
          <w:lang w:eastAsia="ja-JP"/>
        </w:rPr>
        <w:t xml:space="preserve">, </w:t>
      </w:r>
      <w:r w:rsidRPr="00A71C62">
        <w:rPr>
          <w:rFonts w:ascii="Calibri" w:hAnsi="Calibri"/>
          <w:sz w:val="20"/>
          <w:szCs w:val="21"/>
        </w:rPr>
        <w:t xml:space="preserve">M.D., Ph.D., </w:t>
      </w:r>
      <w:r w:rsidR="002D5881" w:rsidRPr="00A71C62">
        <w:rPr>
          <w:rFonts w:ascii="Calibri" w:hAnsi="Calibri"/>
          <w:sz w:val="20"/>
          <w:szCs w:val="21"/>
        </w:rPr>
        <w:t>Departmen</w:t>
      </w:r>
      <w:r w:rsidRPr="00A71C62">
        <w:rPr>
          <w:rFonts w:ascii="Calibri" w:hAnsi="Calibri"/>
          <w:sz w:val="20"/>
          <w:szCs w:val="21"/>
        </w:rPr>
        <w:t xml:space="preserve">t of Dermatology, </w:t>
      </w:r>
      <w:proofErr w:type="spellStart"/>
      <w:r w:rsidRPr="00A71C62">
        <w:rPr>
          <w:rFonts w:ascii="Calibri" w:hAnsi="Calibri"/>
          <w:sz w:val="20"/>
          <w:szCs w:val="21"/>
        </w:rPr>
        <w:t>Hirosaki</w:t>
      </w:r>
      <w:proofErr w:type="spellEnd"/>
      <w:r w:rsidRPr="00A71C62">
        <w:rPr>
          <w:rFonts w:ascii="Calibri" w:hAnsi="Calibri"/>
          <w:sz w:val="20"/>
          <w:szCs w:val="21"/>
        </w:rPr>
        <w:t xml:space="preserve"> University Graduate Sch</w:t>
      </w:r>
      <w:r w:rsidR="00A71C62">
        <w:rPr>
          <w:rFonts w:ascii="Calibri" w:hAnsi="Calibri"/>
          <w:sz w:val="20"/>
          <w:szCs w:val="21"/>
        </w:rPr>
        <w:t xml:space="preserve">ool of Medicine, </w:t>
      </w:r>
      <w:proofErr w:type="spellStart"/>
      <w:r w:rsidR="00A71C62">
        <w:rPr>
          <w:rFonts w:ascii="Calibri" w:hAnsi="Calibri"/>
          <w:sz w:val="20"/>
          <w:szCs w:val="21"/>
        </w:rPr>
        <w:t>Hirosaki</w:t>
      </w:r>
      <w:proofErr w:type="spellEnd"/>
      <w:r w:rsidR="00A71C62">
        <w:rPr>
          <w:rFonts w:ascii="Calibri" w:hAnsi="Calibri"/>
          <w:sz w:val="20"/>
          <w:szCs w:val="21"/>
        </w:rPr>
        <w:t>, Japan</w:t>
      </w:r>
    </w:p>
    <w:p w:rsidR="00A71C62" w:rsidRDefault="00A71C62" w:rsidP="00A71C62">
      <w:pPr>
        <w:pStyle w:val="a3"/>
        <w:spacing w:before="3"/>
        <w:rPr>
          <w:rFonts w:ascii="Calibri" w:hAnsi="Calibri"/>
          <w:sz w:val="20"/>
          <w:szCs w:val="21"/>
        </w:rPr>
      </w:pPr>
    </w:p>
    <w:p w:rsidR="00A71C62" w:rsidRDefault="00A71C62" w:rsidP="00A71C62">
      <w:pPr>
        <w:pStyle w:val="a3"/>
        <w:spacing w:before="3" w:line="360" w:lineRule="auto"/>
        <w:rPr>
          <w:rFonts w:ascii="Calibri" w:hAnsi="Calibri"/>
          <w:color w:val="BF5A14"/>
          <w:sz w:val="21"/>
        </w:rPr>
        <w:sectPr w:rsidR="00A71C62" w:rsidSect="002D588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71C62" w:rsidRDefault="00A9710C" w:rsidP="00A71C62">
      <w:pPr>
        <w:pStyle w:val="a3"/>
        <w:spacing w:before="3" w:line="360" w:lineRule="auto"/>
        <w:rPr>
          <w:rFonts w:ascii="Calibri" w:hAnsi="Calibri"/>
          <w:sz w:val="21"/>
        </w:rPr>
      </w:pPr>
      <w:r w:rsidRPr="00A71C62">
        <w:rPr>
          <w:rFonts w:ascii="Calibri" w:hAnsi="Calibri"/>
          <w:color w:val="BF5A14"/>
          <w:sz w:val="21"/>
        </w:rPr>
        <w:t>Abstract</w:t>
      </w:r>
    </w:p>
    <w:p w:rsidR="002D5881" w:rsidRPr="00A71C62" w:rsidRDefault="0032055D" w:rsidP="00A71C62">
      <w:pPr>
        <w:autoSpaceDE w:val="0"/>
        <w:autoSpaceDN w:val="0"/>
        <w:adjustRightInd w:val="0"/>
        <w:spacing w:line="360" w:lineRule="auto"/>
        <w:rPr>
          <w:rFonts w:ascii="Calibri" w:hAnsi="Calibri"/>
          <w:sz w:val="18"/>
          <w:szCs w:val="18"/>
        </w:rPr>
      </w:pPr>
      <w:r w:rsidRPr="00A71C62">
        <w:rPr>
          <w:rFonts w:ascii="Calibri" w:hAnsi="Calibri" w:cstheme="majorHAnsi"/>
          <w:b/>
          <w:sz w:val="18"/>
          <w:szCs w:val="18"/>
        </w:rPr>
        <w:t>Introduction</w:t>
      </w:r>
      <w:r w:rsidR="004F09FA" w:rsidRPr="00A71C62">
        <w:rPr>
          <w:rFonts w:ascii="Calibri" w:hAnsi="Calibri" w:cstheme="majorHAnsi"/>
          <w:sz w:val="18"/>
          <w:szCs w:val="18"/>
        </w:rPr>
        <w:t>: In mutational analysis of dy</w:t>
      </w:r>
      <w:r w:rsidR="004C012B" w:rsidRPr="00A71C62">
        <w:rPr>
          <w:rFonts w:ascii="Calibri" w:hAnsi="Calibri" w:cstheme="majorHAnsi"/>
          <w:sz w:val="18"/>
          <w:szCs w:val="18"/>
        </w:rPr>
        <w:t>stroph</w:t>
      </w:r>
      <w:r w:rsidR="004F09FA" w:rsidRPr="00A71C62">
        <w:rPr>
          <w:rFonts w:ascii="Calibri" w:hAnsi="Calibri" w:cstheme="majorHAnsi"/>
          <w:sz w:val="18"/>
          <w:szCs w:val="18"/>
        </w:rPr>
        <w:t>ic epidermolysis bullosa (DEB),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 </w:t>
      </w:r>
      <w:r w:rsidR="004C012B" w:rsidRPr="00A71C62">
        <w:rPr>
          <w:rFonts w:ascii="Calibri" w:hAnsi="Calibri" w:cstheme="majorHAnsi"/>
          <w:i/>
          <w:sz w:val="18"/>
          <w:szCs w:val="18"/>
        </w:rPr>
        <w:t>COL7A1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 mutations are </w:t>
      </w:r>
      <w:proofErr w:type="spellStart"/>
      <w:r w:rsidR="004C012B" w:rsidRPr="00A71C62">
        <w:rPr>
          <w:rFonts w:ascii="Calibri" w:hAnsi="Calibri" w:cstheme="majorHAnsi"/>
          <w:sz w:val="18"/>
          <w:szCs w:val="18"/>
        </w:rPr>
        <w:t>analysed</w:t>
      </w:r>
      <w:proofErr w:type="spellEnd"/>
      <w:r w:rsidR="004C012B" w:rsidRPr="00A71C62">
        <w:rPr>
          <w:rFonts w:ascii="Calibri" w:hAnsi="Calibri" w:cstheme="majorHAnsi"/>
          <w:sz w:val="18"/>
          <w:szCs w:val="18"/>
        </w:rPr>
        <w:t xml:space="preserve"> using genomic DNA obtained from peripheral blood mononuclear cells (PBMCs). </w:t>
      </w:r>
      <w:r w:rsidR="005D3D44" w:rsidRPr="00A71C62">
        <w:rPr>
          <w:rFonts w:ascii="Calibri" w:hAnsi="Calibri" w:cstheme="majorHAnsi"/>
          <w:sz w:val="18"/>
          <w:szCs w:val="18"/>
        </w:rPr>
        <w:t>However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, additional invasive skin biopsies are required to obtain mRNA from keratinocytes or fibroblasts for detecting the consequences of </w:t>
      </w:r>
      <w:r w:rsidR="005D3D44" w:rsidRPr="00A71C62">
        <w:rPr>
          <w:rFonts w:ascii="Calibri" w:hAnsi="Calibri" w:cstheme="majorHAnsi"/>
          <w:sz w:val="18"/>
          <w:szCs w:val="18"/>
        </w:rPr>
        <w:t>the mutations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. </w:t>
      </w:r>
      <w:r w:rsidR="00A71E4D" w:rsidRPr="00A71C62">
        <w:rPr>
          <w:rFonts w:ascii="Calibri" w:hAnsi="Calibri" w:cstheme="majorHAnsi"/>
          <w:sz w:val="18"/>
          <w:szCs w:val="18"/>
        </w:rPr>
        <w:t>Recently, w</w:t>
      </w:r>
      <w:r w:rsidR="00A71E4D" w:rsidRPr="00A71C62">
        <w:rPr>
          <w:rFonts w:ascii="Calibri" w:hAnsi="Calibri" w:cstheme="majorHAnsi"/>
          <w:sz w:val="18"/>
          <w:szCs w:val="18"/>
        </w:rPr>
        <w:t xml:space="preserve">e </w:t>
      </w:r>
      <w:r w:rsidR="00C14049" w:rsidRPr="00A71C62">
        <w:rPr>
          <w:rFonts w:ascii="Calibri" w:hAnsi="Calibri" w:cstheme="majorHAnsi"/>
          <w:sz w:val="18"/>
          <w:szCs w:val="18"/>
        </w:rPr>
        <w:t xml:space="preserve">revealed the exact expression levels of </w:t>
      </w:r>
      <w:r w:rsidR="00C14049" w:rsidRPr="00A71C62">
        <w:rPr>
          <w:rFonts w:ascii="Calibri" w:hAnsi="Calibri" w:cstheme="majorHAnsi"/>
          <w:i/>
          <w:sz w:val="18"/>
          <w:szCs w:val="18"/>
        </w:rPr>
        <w:t>COL7A1</w:t>
      </w:r>
      <w:r w:rsidR="00C14049" w:rsidRPr="00A71C62">
        <w:rPr>
          <w:rFonts w:ascii="Calibri" w:hAnsi="Calibri" w:cstheme="majorHAnsi"/>
          <w:sz w:val="18"/>
          <w:szCs w:val="18"/>
        </w:rPr>
        <w:t xml:space="preserve"> mRNA in</w:t>
      </w:r>
      <w:r w:rsidR="00C14049" w:rsidRPr="00A71C62">
        <w:rPr>
          <w:rFonts w:ascii="Calibri" w:hAnsi="Calibri" w:cstheme="majorHAnsi"/>
          <w:sz w:val="18"/>
          <w:szCs w:val="18"/>
        </w:rPr>
        <w:t xml:space="preserve"> PBMCs</w:t>
      </w:r>
      <w:r w:rsidR="000B28CA" w:rsidRPr="00A71C62">
        <w:rPr>
          <w:rFonts w:ascii="Calibri" w:hAnsi="Calibri" w:cstheme="majorHAnsi"/>
          <w:sz w:val="18"/>
          <w:szCs w:val="18"/>
        </w:rPr>
        <w:t xml:space="preserve">, and demonstrated that </w:t>
      </w:r>
      <w:r w:rsidR="00A71E4D" w:rsidRPr="00A71C62">
        <w:rPr>
          <w:rFonts w:ascii="Calibri" w:hAnsi="Calibri" w:cstheme="majorHAnsi"/>
          <w:sz w:val="18"/>
          <w:szCs w:val="18"/>
        </w:rPr>
        <w:t xml:space="preserve">RT-PCR and direct sequencing of cDNA using mRNA obtained from PBMCs are useful, non-invasive methods that can confirm the accurate consequences of </w:t>
      </w:r>
      <w:r w:rsidR="00A71E4D" w:rsidRPr="00A71C62">
        <w:rPr>
          <w:rFonts w:ascii="Calibri" w:hAnsi="Calibri" w:cstheme="majorHAnsi"/>
          <w:i/>
          <w:sz w:val="18"/>
          <w:szCs w:val="18"/>
        </w:rPr>
        <w:t>COL7A1</w:t>
      </w:r>
      <w:r w:rsidR="00A71E4D" w:rsidRPr="00A71C62">
        <w:rPr>
          <w:rFonts w:ascii="Calibri" w:hAnsi="Calibri" w:cstheme="majorHAnsi"/>
          <w:sz w:val="18"/>
          <w:szCs w:val="18"/>
        </w:rPr>
        <w:t xml:space="preserve"> mutations.</w:t>
      </w:r>
      <w:r w:rsidR="00C14049" w:rsidRPr="00A71C62">
        <w:rPr>
          <w:rFonts w:ascii="Calibri" w:hAnsi="Calibri" w:cstheme="majorHAnsi"/>
          <w:sz w:val="18"/>
          <w:szCs w:val="18"/>
        </w:rPr>
        <w:t xml:space="preserve"> However, </w:t>
      </w:r>
      <w:r w:rsidR="00C14049" w:rsidRPr="00A71C62">
        <w:rPr>
          <w:rFonts w:ascii="Calibri" w:hAnsi="Calibri" w:cstheme="majorHAnsi"/>
          <w:sz w:val="18"/>
          <w:szCs w:val="18"/>
        </w:rPr>
        <w:t xml:space="preserve">the types of cells in PBMCs that express type </w:t>
      </w:r>
      <w:proofErr w:type="spellStart"/>
      <w:r w:rsidR="00C14049" w:rsidRPr="00A71C62">
        <w:rPr>
          <w:rFonts w:ascii="Calibri" w:hAnsi="Calibri" w:cstheme="majorHAnsi"/>
          <w:sz w:val="18"/>
          <w:szCs w:val="18"/>
        </w:rPr>
        <w:t>Vll</w:t>
      </w:r>
      <w:proofErr w:type="spellEnd"/>
      <w:r w:rsidR="00C14049" w:rsidRPr="00A71C62">
        <w:rPr>
          <w:rFonts w:ascii="Calibri" w:hAnsi="Calibri" w:cstheme="majorHAnsi"/>
          <w:sz w:val="18"/>
          <w:szCs w:val="18"/>
        </w:rPr>
        <w:t xml:space="preserve"> collagen </w:t>
      </w:r>
      <w:r w:rsidR="00C14049" w:rsidRPr="00A71C62">
        <w:rPr>
          <w:rFonts w:ascii="Calibri" w:hAnsi="Calibri" w:cstheme="majorHAnsi"/>
          <w:sz w:val="18"/>
          <w:szCs w:val="18"/>
        </w:rPr>
        <w:t>remains to be elucidated.</w:t>
      </w:r>
      <w:r w:rsidR="00C14049" w:rsidRPr="00A71C62">
        <w:rPr>
          <w:rFonts w:ascii="Calibri" w:hAnsi="Calibri" w:cstheme="majorHAnsi"/>
          <w:sz w:val="18"/>
          <w:szCs w:val="18"/>
        </w:rPr>
        <w:t xml:space="preserve"> Several reports have shown that bone marrow-derived mesenchymal stem cells</w:t>
      </w:r>
      <w:r w:rsidR="003C099F" w:rsidRPr="00A71C62">
        <w:rPr>
          <w:rFonts w:ascii="Calibri" w:hAnsi="Calibri" w:cstheme="majorHAnsi"/>
          <w:sz w:val="18"/>
          <w:szCs w:val="18"/>
        </w:rPr>
        <w:t xml:space="preserve"> (MSCs)</w:t>
      </w:r>
      <w:r w:rsidR="00C14049" w:rsidRPr="00A71C62">
        <w:rPr>
          <w:rFonts w:ascii="Calibri" w:hAnsi="Calibri" w:cstheme="majorHAnsi"/>
          <w:sz w:val="18"/>
          <w:szCs w:val="18"/>
        </w:rPr>
        <w:t xml:space="preserve"> recruited to </w:t>
      </w:r>
      <w:r w:rsidR="00BA4AD5" w:rsidRPr="00A71C62">
        <w:rPr>
          <w:rFonts w:ascii="Calibri" w:hAnsi="Calibri" w:cstheme="majorHAnsi"/>
          <w:sz w:val="18"/>
          <w:szCs w:val="18"/>
        </w:rPr>
        <w:t>skin</w:t>
      </w:r>
      <w:r w:rsidR="00C14049" w:rsidRPr="00A71C62">
        <w:rPr>
          <w:rFonts w:ascii="Calibri" w:hAnsi="Calibri" w:cstheme="majorHAnsi"/>
          <w:sz w:val="18"/>
          <w:szCs w:val="18"/>
        </w:rPr>
        <w:t xml:space="preserve"> produce </w:t>
      </w:r>
      <w:r w:rsidR="009269F7" w:rsidRPr="00A71C62">
        <w:rPr>
          <w:rFonts w:ascii="Calibri" w:hAnsi="Calibri" w:cstheme="majorHAnsi"/>
          <w:sz w:val="18"/>
          <w:szCs w:val="18"/>
        </w:rPr>
        <w:t xml:space="preserve">functional </w:t>
      </w:r>
      <w:r w:rsidR="00C14049" w:rsidRPr="00A71C62">
        <w:rPr>
          <w:rFonts w:ascii="Calibri" w:hAnsi="Calibri" w:cstheme="majorHAnsi"/>
          <w:sz w:val="18"/>
          <w:szCs w:val="18"/>
        </w:rPr>
        <w:t>type VII collagen.</w:t>
      </w:r>
      <w:r w:rsidR="006D0D47" w:rsidRPr="00A71C62">
        <w:rPr>
          <w:rFonts w:ascii="Calibri" w:hAnsi="Calibri" w:cstheme="majorHAnsi"/>
          <w:sz w:val="18"/>
          <w:szCs w:val="18"/>
        </w:rPr>
        <w:t xml:space="preserve"> </w:t>
      </w:r>
      <w:r w:rsidR="006B28F7" w:rsidRPr="00A71C62">
        <w:rPr>
          <w:rFonts w:ascii="Calibri" w:hAnsi="Calibri" w:cstheme="majorHAnsi"/>
          <w:sz w:val="18"/>
          <w:szCs w:val="18"/>
        </w:rPr>
        <w:t>Hence, t</w:t>
      </w:r>
      <w:r w:rsidR="00301A59" w:rsidRPr="00A71C62">
        <w:rPr>
          <w:rFonts w:ascii="Calibri" w:hAnsi="Calibri" w:cstheme="majorHAnsi"/>
          <w:sz w:val="18"/>
          <w:szCs w:val="18"/>
        </w:rPr>
        <w:t>he</w:t>
      </w:r>
      <w:r w:rsidR="00301A59" w:rsidRPr="00A71C62">
        <w:rPr>
          <w:rFonts w:ascii="Calibri" w:hAnsi="Calibri" w:cstheme="majorHAnsi"/>
          <w:sz w:val="18"/>
          <w:szCs w:val="18"/>
        </w:rPr>
        <w:t xml:space="preserve"> aim </w:t>
      </w:r>
      <w:r w:rsidR="00301A59" w:rsidRPr="00A71C62">
        <w:rPr>
          <w:rFonts w:ascii="Calibri" w:hAnsi="Calibri" w:cstheme="majorHAnsi"/>
          <w:sz w:val="18"/>
          <w:szCs w:val="18"/>
        </w:rPr>
        <w:t>of this study is</w:t>
      </w:r>
      <w:r w:rsidR="00301A59" w:rsidRPr="00A71C62">
        <w:rPr>
          <w:rFonts w:ascii="Calibri" w:hAnsi="Calibri" w:cstheme="majorHAnsi"/>
          <w:sz w:val="18"/>
          <w:szCs w:val="18"/>
        </w:rPr>
        <w:t xml:space="preserve"> to elucidate whether MSCs circulat</w:t>
      </w:r>
      <w:r w:rsidR="00301A59" w:rsidRPr="00A71C62">
        <w:rPr>
          <w:rFonts w:ascii="Calibri" w:hAnsi="Calibri" w:cstheme="majorHAnsi"/>
          <w:sz w:val="18"/>
          <w:szCs w:val="18"/>
        </w:rPr>
        <w:t>ing</w:t>
      </w:r>
      <w:r w:rsidR="00301A59" w:rsidRPr="00A71C62">
        <w:rPr>
          <w:rFonts w:ascii="Calibri" w:hAnsi="Calibri" w:cstheme="majorHAnsi"/>
          <w:sz w:val="18"/>
          <w:szCs w:val="18"/>
        </w:rPr>
        <w:t xml:space="preserve"> in peripheral blood actually express type VII collagen.</w:t>
      </w:r>
      <w:r w:rsidR="00301A59" w:rsidRPr="00A71C62">
        <w:rPr>
          <w:rFonts w:ascii="Calibri" w:hAnsi="Calibri" w:cstheme="majorHAnsi"/>
          <w:sz w:val="18"/>
          <w:szCs w:val="18"/>
        </w:rPr>
        <w:t xml:space="preserve"> </w:t>
      </w:r>
      <w:r w:rsidRPr="00A71C62">
        <w:rPr>
          <w:rFonts w:ascii="Calibri" w:hAnsi="Calibri" w:cstheme="majorHAnsi"/>
          <w:b/>
          <w:sz w:val="18"/>
          <w:szCs w:val="18"/>
        </w:rPr>
        <w:t>Methods</w:t>
      </w:r>
      <w:r w:rsidR="004F09FA" w:rsidRPr="00A71C62">
        <w:rPr>
          <w:rFonts w:ascii="Calibri" w:hAnsi="Calibri" w:cstheme="majorHAnsi"/>
          <w:b/>
          <w:sz w:val="18"/>
          <w:szCs w:val="18"/>
        </w:rPr>
        <w:t xml:space="preserve"> &amp; </w:t>
      </w:r>
      <w:r w:rsidRPr="00A71C62">
        <w:rPr>
          <w:rFonts w:ascii="Calibri" w:hAnsi="Calibri" w:cstheme="majorHAnsi"/>
          <w:b/>
          <w:sz w:val="18"/>
          <w:szCs w:val="18"/>
        </w:rPr>
        <w:t>Results</w:t>
      </w:r>
      <w:r w:rsidR="004F09FA" w:rsidRPr="00A71C62">
        <w:rPr>
          <w:rFonts w:ascii="Calibri" w:hAnsi="Calibri" w:cstheme="majorHAnsi"/>
          <w:sz w:val="18"/>
          <w:szCs w:val="18"/>
        </w:rPr>
        <w:t>:</w:t>
      </w:r>
      <w:r w:rsidR="006D0D47" w:rsidRPr="00A71C62">
        <w:rPr>
          <w:rFonts w:ascii="Calibri" w:hAnsi="Calibri" w:cstheme="majorHAnsi"/>
          <w:sz w:val="18"/>
          <w:szCs w:val="18"/>
        </w:rPr>
        <w:t xml:space="preserve"> </w:t>
      </w:r>
      <w:r w:rsidR="004C012B" w:rsidRPr="00A71C62">
        <w:rPr>
          <w:rFonts w:ascii="Calibri" w:hAnsi="Calibri" w:cstheme="majorHAnsi"/>
          <w:sz w:val="18"/>
          <w:szCs w:val="18"/>
        </w:rPr>
        <w:t>First, we tried to isolate MSCs from circulating PBMCs</w:t>
      </w:r>
      <w:r w:rsidR="00C548A9" w:rsidRPr="00A71C62">
        <w:rPr>
          <w:rFonts w:ascii="Calibri" w:hAnsi="Calibri" w:cstheme="majorHAnsi"/>
          <w:sz w:val="18"/>
          <w:szCs w:val="18"/>
        </w:rPr>
        <w:t xml:space="preserve">. </w:t>
      </w:r>
      <w:r w:rsidR="00992E08" w:rsidRPr="00A71C62">
        <w:rPr>
          <w:rFonts w:ascii="Calibri" w:hAnsi="Calibri" w:cstheme="majorHAnsi"/>
          <w:sz w:val="18"/>
          <w:szCs w:val="18"/>
        </w:rPr>
        <w:t xml:space="preserve">CD105 and 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CD29 are the widely accepted markers of MSCs, while CD45 and CD34 are representative hematopoietic lineage markers. </w:t>
      </w:r>
      <w:r w:rsidR="008D7070" w:rsidRPr="00A71C62">
        <w:rPr>
          <w:rFonts w:ascii="Calibri" w:hAnsi="Calibri" w:cstheme="majorHAnsi"/>
          <w:sz w:val="18"/>
          <w:szCs w:val="18"/>
        </w:rPr>
        <w:t xml:space="preserve">Flow cytometric analysis failed to detect </w:t>
      </w:r>
      <w:r w:rsidR="004C012B" w:rsidRPr="00A71C62">
        <w:rPr>
          <w:rFonts w:ascii="Calibri" w:hAnsi="Calibri" w:cstheme="majorHAnsi"/>
          <w:sz w:val="18"/>
          <w:szCs w:val="18"/>
        </w:rPr>
        <w:t>CD45-negative and CD105-</w:t>
      </w:r>
      <w:r w:rsidR="008D7070" w:rsidRPr="00A71C62">
        <w:rPr>
          <w:rFonts w:ascii="Calibri" w:hAnsi="Calibri" w:cstheme="majorHAnsi"/>
          <w:sz w:val="18"/>
          <w:szCs w:val="18"/>
        </w:rPr>
        <w:t>p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ositive cells in a population of 200,000 circulating PBMCs. </w:t>
      </w:r>
      <w:r w:rsidR="004A314B" w:rsidRPr="00A71C62">
        <w:rPr>
          <w:rFonts w:ascii="Calibri" w:hAnsi="Calibri" w:cstheme="majorHAnsi"/>
          <w:sz w:val="18"/>
          <w:szCs w:val="18"/>
        </w:rPr>
        <w:t>S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ubsequently, we </w:t>
      </w:r>
      <w:r w:rsidR="004A314B" w:rsidRPr="00A71C62">
        <w:rPr>
          <w:rFonts w:ascii="Calibri" w:hAnsi="Calibri" w:cstheme="majorHAnsi"/>
          <w:sz w:val="18"/>
          <w:szCs w:val="18"/>
        </w:rPr>
        <w:t>isolated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 MSCs from PBMCs using Human Mesenchymal Stem Cell Enrichment Cocktail</w:t>
      </w:r>
      <w:r w:rsidR="004A314B" w:rsidRPr="00A71C62">
        <w:rPr>
          <w:rFonts w:ascii="Calibri" w:hAnsi="Calibri" w:cstheme="majorHAnsi"/>
          <w:sz w:val="18"/>
          <w:szCs w:val="18"/>
        </w:rPr>
        <w:t xml:space="preserve"> and cultured those cells in MSC growth medium</w:t>
      </w:r>
      <w:r w:rsidR="004C012B" w:rsidRPr="00A71C62">
        <w:rPr>
          <w:rFonts w:ascii="Calibri" w:hAnsi="Calibri" w:cstheme="majorHAnsi"/>
          <w:sz w:val="18"/>
          <w:szCs w:val="18"/>
        </w:rPr>
        <w:t>. Immunofluorescence examinations showed that these isolated cells expressed type VII collagen</w:t>
      </w:r>
      <w:r w:rsidR="008D7070" w:rsidRPr="00A71C62">
        <w:rPr>
          <w:rFonts w:ascii="Calibri" w:hAnsi="Calibri" w:cstheme="majorHAnsi"/>
          <w:sz w:val="18"/>
          <w:szCs w:val="18"/>
        </w:rPr>
        <w:t>, and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 were positive for CD29 and CD105 and negative for CD45 and CD34, which is consistent with the immunological features of MSCs. These results showed that PBMCs contain a very small percentage of circulating mesenchymal stromal cells, which possibly include MSCs, and those cells can express type VII collagen. </w:t>
      </w:r>
      <w:r w:rsidRPr="00A71C62">
        <w:rPr>
          <w:rFonts w:ascii="Calibri" w:hAnsi="Calibri" w:cstheme="majorHAnsi"/>
          <w:b/>
          <w:sz w:val="18"/>
          <w:szCs w:val="18"/>
        </w:rPr>
        <w:t>Conclusion</w:t>
      </w:r>
      <w:r w:rsidR="00A71E4D" w:rsidRPr="00A71C62">
        <w:rPr>
          <w:rFonts w:ascii="Calibri" w:hAnsi="Calibri" w:cstheme="majorHAnsi"/>
          <w:b/>
          <w:sz w:val="18"/>
          <w:szCs w:val="18"/>
        </w:rPr>
        <w:t>:</w:t>
      </w:r>
      <w:r w:rsidR="00A71E4D" w:rsidRPr="00A71C62">
        <w:rPr>
          <w:rFonts w:ascii="Calibri" w:hAnsi="Calibri" w:cstheme="majorHAnsi"/>
          <w:sz w:val="18"/>
          <w:szCs w:val="18"/>
        </w:rPr>
        <w:t xml:space="preserve"> 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Although the actual function of type </w:t>
      </w:r>
      <w:proofErr w:type="spellStart"/>
      <w:r w:rsidR="004C012B" w:rsidRPr="00A71C62">
        <w:rPr>
          <w:rFonts w:ascii="Calibri" w:hAnsi="Calibri" w:cstheme="majorHAnsi"/>
          <w:sz w:val="18"/>
          <w:szCs w:val="18"/>
        </w:rPr>
        <w:t>Vll</w:t>
      </w:r>
      <w:proofErr w:type="spellEnd"/>
      <w:r w:rsidR="004C012B" w:rsidRPr="00A71C62">
        <w:rPr>
          <w:rFonts w:ascii="Calibri" w:hAnsi="Calibri" w:cstheme="majorHAnsi"/>
          <w:sz w:val="18"/>
          <w:szCs w:val="18"/>
        </w:rPr>
        <w:t xml:space="preserve"> collagen-expressing MSCs remains unknown, the existence of type VII collagen in </w:t>
      </w:r>
      <w:r w:rsidR="00F47D56" w:rsidRPr="00A71C62">
        <w:rPr>
          <w:rFonts w:ascii="Calibri" w:hAnsi="Calibri" w:cstheme="majorHAnsi"/>
          <w:sz w:val="18"/>
          <w:szCs w:val="18"/>
        </w:rPr>
        <w:t>PBMCs</w:t>
      </w:r>
      <w:r w:rsidR="004C012B" w:rsidRPr="00A71C62">
        <w:rPr>
          <w:rFonts w:ascii="Calibri" w:hAnsi="Calibri" w:cstheme="majorHAnsi"/>
          <w:sz w:val="18"/>
          <w:szCs w:val="18"/>
        </w:rPr>
        <w:t xml:space="preserve"> will surely be helpful for developing novel therapeutic and diagnostic methods for </w:t>
      </w:r>
      <w:r w:rsidR="00200931" w:rsidRPr="00A71C62">
        <w:rPr>
          <w:rFonts w:ascii="Calibri" w:hAnsi="Calibri" w:cstheme="majorHAnsi"/>
          <w:sz w:val="18"/>
          <w:szCs w:val="18"/>
        </w:rPr>
        <w:t>DEB.</w:t>
      </w:r>
    </w:p>
    <w:p w:rsidR="00AE3E37" w:rsidRPr="00A71C62" w:rsidRDefault="00A9710C" w:rsidP="00A71E4D">
      <w:pPr>
        <w:autoSpaceDE w:val="0"/>
        <w:autoSpaceDN w:val="0"/>
        <w:adjustRightInd w:val="0"/>
        <w:spacing w:line="360" w:lineRule="auto"/>
        <w:rPr>
          <w:rFonts w:ascii="Calibri" w:hAnsi="Calibri"/>
          <w:b/>
          <w:sz w:val="21"/>
          <w:szCs w:val="21"/>
        </w:rPr>
      </w:pPr>
      <w:r w:rsidRPr="00A71C62">
        <w:rPr>
          <w:rFonts w:ascii="Calibri" w:hAnsi="Calibri" w:cs="Arial"/>
          <w:b/>
          <w:color w:val="BF5A14"/>
          <w:sz w:val="21"/>
          <w:szCs w:val="21"/>
        </w:rPr>
        <w:t>Image</w:t>
      </w:r>
    </w:p>
    <w:p w:rsidR="005973B9" w:rsidRPr="00A71C62" w:rsidRDefault="002D5881" w:rsidP="002D5881">
      <w:pPr>
        <w:autoSpaceDE w:val="0"/>
        <w:autoSpaceDN w:val="0"/>
        <w:adjustRightInd w:val="0"/>
        <w:spacing w:line="360" w:lineRule="auto"/>
        <w:rPr>
          <w:rFonts w:ascii="Calibri" w:hAnsi="Calibri" w:cstheme="majorHAnsi"/>
          <w:sz w:val="18"/>
          <w:szCs w:val="18"/>
        </w:rPr>
      </w:pPr>
      <w:r w:rsidRPr="00A71C62">
        <w:rPr>
          <w:rFonts w:ascii="Calibri" w:hAnsi="Calibri" w:cstheme="majorHAnsi"/>
          <w:noProof/>
          <w:sz w:val="18"/>
          <w:szCs w:val="18"/>
          <w:lang w:eastAsia="ja-JP"/>
        </w:rPr>
        <w:drawing>
          <wp:inline distT="0" distB="0" distL="0" distR="0">
            <wp:extent cx="2688609" cy="2547766"/>
            <wp:effectExtent l="0" t="0" r="0" b="508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344" cy="255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3B9" w:rsidRPr="00A71C62">
        <w:rPr>
          <w:rFonts w:ascii="Calibri" w:hAnsi="Calibri"/>
          <w:b/>
          <w:color w:val="BF5A14"/>
          <w:sz w:val="20"/>
        </w:rPr>
        <w:br/>
      </w:r>
      <w:r w:rsidR="005973B9" w:rsidRPr="00A71C62">
        <w:rPr>
          <w:rFonts w:ascii="Calibri" w:hAnsi="Calibri" w:cs="Arial"/>
          <w:b/>
          <w:color w:val="BF5A14"/>
          <w:sz w:val="21"/>
          <w:szCs w:val="21"/>
        </w:rPr>
        <w:t>Recent Publications</w:t>
      </w:r>
    </w:p>
    <w:p w:rsidR="007B3874" w:rsidRPr="00A71C62" w:rsidRDefault="005239A8" w:rsidP="002D5881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left"/>
        <w:rPr>
          <w:rFonts w:cs="Arial"/>
          <w:noProof/>
          <w:sz w:val="18"/>
          <w:szCs w:val="18"/>
        </w:rPr>
      </w:pPr>
      <w:r w:rsidRPr="00A71C62">
        <w:rPr>
          <w:rFonts w:cstheme="majorHAnsi"/>
          <w:sz w:val="18"/>
          <w:szCs w:val="18"/>
        </w:rPr>
        <w:fldChar w:fldCharType="begin" w:fldLock="1"/>
      </w:r>
      <w:r w:rsidRPr="00A71C62">
        <w:rPr>
          <w:rFonts w:cstheme="majorHAnsi"/>
          <w:sz w:val="18"/>
          <w:szCs w:val="18"/>
        </w:rPr>
        <w:instrText xml:space="preserve">ADDIN Mendeley Bibliography CSL_BIBLIOGRAPHY </w:instrText>
      </w:r>
      <w:r w:rsidRPr="00A71C62">
        <w:rPr>
          <w:rFonts w:cstheme="majorHAnsi"/>
          <w:sz w:val="18"/>
          <w:szCs w:val="18"/>
        </w:rPr>
        <w:fldChar w:fldCharType="separate"/>
      </w:r>
      <w:r w:rsidRPr="00A71C62">
        <w:rPr>
          <w:rFonts w:cs="Arial"/>
          <w:noProof/>
          <w:sz w:val="18"/>
          <w:szCs w:val="18"/>
        </w:rPr>
        <w:t>Chino T, Tamai K, Yamazaki T, et al</w:t>
      </w:r>
      <w:r w:rsidR="007B3874" w:rsidRPr="00A71C62">
        <w:rPr>
          <w:rFonts w:cs="Arial"/>
          <w:noProof/>
          <w:sz w:val="18"/>
          <w:szCs w:val="18"/>
        </w:rPr>
        <w:t xml:space="preserve">. (2008) </w:t>
      </w:r>
      <w:r w:rsidRPr="00A71C62">
        <w:rPr>
          <w:rFonts w:cs="Arial"/>
          <w:noProof/>
          <w:sz w:val="18"/>
          <w:szCs w:val="18"/>
        </w:rPr>
        <w:t xml:space="preserve"> Bone marrow cell transfer into fetal circulation can ameliorate genetic skin diseases by providing fibroblasts to the skin and inducing immune tolerance. Am. J. Pathol. American Society fo</w:t>
      </w:r>
      <w:r w:rsidR="007B3874" w:rsidRPr="00A71C62">
        <w:rPr>
          <w:rFonts w:cs="Arial"/>
          <w:noProof/>
          <w:sz w:val="18"/>
          <w:szCs w:val="18"/>
        </w:rPr>
        <w:t>r Investigative Pathology. 173:803–14</w:t>
      </w:r>
    </w:p>
    <w:p w:rsidR="007B3874" w:rsidRPr="00A71C62" w:rsidRDefault="005239A8" w:rsidP="002D5881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left"/>
        <w:rPr>
          <w:rFonts w:cs="Arial"/>
          <w:noProof/>
          <w:sz w:val="18"/>
          <w:szCs w:val="18"/>
        </w:rPr>
      </w:pPr>
      <w:r w:rsidRPr="00A71C62">
        <w:rPr>
          <w:rFonts w:cs="Arial"/>
          <w:noProof/>
          <w:sz w:val="18"/>
          <w:szCs w:val="18"/>
        </w:rPr>
        <w:t xml:space="preserve">El-Darouti M, Fawzy M, Amin I, et al. </w:t>
      </w:r>
      <w:r w:rsidR="007B3874" w:rsidRPr="00A71C62">
        <w:rPr>
          <w:rFonts w:cs="Arial"/>
          <w:noProof/>
          <w:sz w:val="18"/>
          <w:szCs w:val="18"/>
        </w:rPr>
        <w:t xml:space="preserve">(2015) </w:t>
      </w:r>
      <w:r w:rsidRPr="00A71C62">
        <w:rPr>
          <w:rFonts w:cs="Arial"/>
          <w:noProof/>
          <w:sz w:val="18"/>
          <w:szCs w:val="18"/>
        </w:rPr>
        <w:t>Treatment of dystrophic epidermolysis bullosa with bone marrow non-hematopoeitic stem cells: a randomized controlled</w:t>
      </w:r>
      <w:r w:rsidR="007B3874" w:rsidRPr="00A71C62">
        <w:rPr>
          <w:rFonts w:cs="Arial"/>
          <w:noProof/>
          <w:sz w:val="18"/>
          <w:szCs w:val="18"/>
        </w:rPr>
        <w:t xml:space="preserve"> trial. Dermatol Ther. 29:96-100</w:t>
      </w:r>
    </w:p>
    <w:p w:rsidR="005239A8" w:rsidRPr="00A71C62" w:rsidRDefault="005239A8" w:rsidP="002D5881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left"/>
        <w:rPr>
          <w:rFonts w:cs="Arial"/>
          <w:noProof/>
          <w:sz w:val="18"/>
          <w:szCs w:val="18"/>
        </w:rPr>
      </w:pPr>
      <w:r w:rsidRPr="00A71C62">
        <w:rPr>
          <w:rFonts w:cs="Arial"/>
          <w:noProof/>
          <w:sz w:val="18"/>
          <w:szCs w:val="18"/>
        </w:rPr>
        <w:t>Iinuma S, Aikawa E, Tamai K, et al.</w:t>
      </w:r>
      <w:r w:rsidR="007B3874" w:rsidRPr="00A71C62">
        <w:rPr>
          <w:rFonts w:cs="Arial"/>
          <w:noProof/>
          <w:sz w:val="18"/>
          <w:szCs w:val="18"/>
        </w:rPr>
        <w:t xml:space="preserve"> (2008)</w:t>
      </w:r>
      <w:r w:rsidRPr="00A71C62">
        <w:rPr>
          <w:rFonts w:cs="Arial"/>
          <w:noProof/>
          <w:sz w:val="18"/>
          <w:szCs w:val="18"/>
        </w:rPr>
        <w:t xml:space="preserve"> Transplanted bone marrow-derived circulating PDGFRα+ cells restore type VII collagen in recessive dystrophic epidermolysis bullosa mouse s</w:t>
      </w:r>
      <w:r w:rsidR="007B3874" w:rsidRPr="00A71C62">
        <w:rPr>
          <w:rFonts w:cs="Arial"/>
          <w:noProof/>
          <w:sz w:val="18"/>
          <w:szCs w:val="18"/>
        </w:rPr>
        <w:t>kin graft. J. Immunol. 194</w:t>
      </w:r>
      <w:r w:rsidRPr="00A71C62">
        <w:rPr>
          <w:rFonts w:cs="Arial"/>
          <w:noProof/>
          <w:sz w:val="18"/>
          <w:szCs w:val="18"/>
        </w:rPr>
        <w:t xml:space="preserve">:1996–2003 </w:t>
      </w:r>
    </w:p>
    <w:p w:rsidR="005239A8" w:rsidRPr="00A71C62" w:rsidRDefault="005239A8" w:rsidP="002D5881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left"/>
        <w:rPr>
          <w:rFonts w:cs="Arial"/>
          <w:noProof/>
          <w:sz w:val="18"/>
          <w:szCs w:val="18"/>
        </w:rPr>
      </w:pPr>
      <w:r w:rsidRPr="00A71C62">
        <w:rPr>
          <w:rFonts w:cs="Arial"/>
          <w:noProof/>
          <w:sz w:val="18"/>
          <w:szCs w:val="18"/>
        </w:rPr>
        <w:t xml:space="preserve">Jiang W, Bu D, Yang Y, </w:t>
      </w:r>
      <w:r w:rsidR="007B3874" w:rsidRPr="00A71C62">
        <w:rPr>
          <w:rFonts w:cs="Arial"/>
          <w:noProof/>
          <w:sz w:val="18"/>
          <w:szCs w:val="18"/>
        </w:rPr>
        <w:t xml:space="preserve">et al.(2002) </w:t>
      </w:r>
      <w:r w:rsidRPr="00A71C62">
        <w:rPr>
          <w:rFonts w:cs="Arial"/>
          <w:noProof/>
          <w:sz w:val="18"/>
          <w:szCs w:val="18"/>
        </w:rPr>
        <w:t>. A novel splice site mutation in collagen type VII gene in a Chinese family with dominant dystrophic epidermolysis bullosa prurig</w:t>
      </w:r>
      <w:r w:rsidR="007B3874" w:rsidRPr="00A71C62">
        <w:rPr>
          <w:rFonts w:cs="Arial"/>
          <w:noProof/>
          <w:sz w:val="18"/>
          <w:szCs w:val="18"/>
        </w:rPr>
        <w:t>inosa. Acta Derm Venereol. 82:187–91</w:t>
      </w:r>
    </w:p>
    <w:p w:rsidR="005239A8" w:rsidRPr="00A71C62" w:rsidRDefault="005239A8" w:rsidP="002D5881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left"/>
        <w:rPr>
          <w:rFonts w:cs="Arial"/>
          <w:noProof/>
          <w:sz w:val="18"/>
          <w:szCs w:val="18"/>
        </w:rPr>
      </w:pPr>
      <w:r w:rsidRPr="00A71C62">
        <w:rPr>
          <w:rFonts w:cs="Arial"/>
          <w:noProof/>
          <w:sz w:val="18"/>
          <w:szCs w:val="18"/>
        </w:rPr>
        <w:t xml:space="preserve">Jiang W, Sun T-T, Lei P-C, </w:t>
      </w:r>
      <w:r w:rsidR="007B3874" w:rsidRPr="00A71C62">
        <w:rPr>
          <w:rFonts w:cs="Arial"/>
          <w:noProof/>
          <w:sz w:val="18"/>
          <w:szCs w:val="18"/>
        </w:rPr>
        <w:t>et al. (2011)</w:t>
      </w:r>
      <w:r w:rsidRPr="00A71C62">
        <w:rPr>
          <w:rFonts w:cs="Arial"/>
          <w:noProof/>
          <w:sz w:val="18"/>
          <w:szCs w:val="18"/>
        </w:rPr>
        <w:t xml:space="preserve"> Genotype-Phenotype Correlation in Chinese Patients with Dystrophic Epidermolysis Bullosa Prurigi</w:t>
      </w:r>
      <w:r w:rsidR="007B3874" w:rsidRPr="00A71C62">
        <w:rPr>
          <w:rFonts w:cs="Arial"/>
          <w:noProof/>
          <w:sz w:val="18"/>
          <w:szCs w:val="18"/>
        </w:rPr>
        <w:t>nosa. Acta Derm. Venereol. 92</w:t>
      </w:r>
      <w:r w:rsidRPr="00A71C62">
        <w:rPr>
          <w:rFonts w:cs="Arial"/>
          <w:noProof/>
          <w:sz w:val="18"/>
          <w:szCs w:val="18"/>
        </w:rPr>
        <w:t xml:space="preserve">:50–3 </w:t>
      </w:r>
    </w:p>
    <w:p w:rsidR="002D5881" w:rsidRPr="00A71C62" w:rsidRDefault="005239A8" w:rsidP="002D5881">
      <w:pPr>
        <w:pStyle w:val="a5"/>
        <w:numPr>
          <w:ilvl w:val="0"/>
          <w:numId w:val="4"/>
        </w:numPr>
        <w:tabs>
          <w:tab w:val="left" w:pos="384"/>
        </w:tabs>
        <w:autoSpaceDE w:val="0"/>
        <w:autoSpaceDN w:val="0"/>
        <w:adjustRightInd w:val="0"/>
        <w:spacing w:line="240" w:lineRule="auto"/>
        <w:ind w:right="117"/>
        <w:jc w:val="left"/>
        <w:rPr>
          <w:rFonts w:cstheme="majorHAnsi"/>
          <w:sz w:val="18"/>
          <w:szCs w:val="18"/>
        </w:rPr>
        <w:sectPr w:rsidR="002D5881" w:rsidRPr="00A71C62" w:rsidSect="00A71C62">
          <w:type w:val="continuous"/>
          <w:pgSz w:w="11910" w:h="16840"/>
          <w:pgMar w:top="1740" w:right="600" w:bottom="840" w:left="620" w:header="720" w:footer="720" w:gutter="0"/>
          <w:cols w:num="2" w:space="720"/>
        </w:sectPr>
      </w:pPr>
      <w:r w:rsidRPr="00A71C62">
        <w:rPr>
          <w:rFonts w:cs="Arial"/>
          <w:noProof/>
          <w:sz w:val="18"/>
          <w:szCs w:val="18"/>
        </w:rPr>
        <w:t>Wu G, Pan M, Wang X, et al.</w:t>
      </w:r>
      <w:r w:rsidR="004B68C9" w:rsidRPr="00A71C62">
        <w:rPr>
          <w:rFonts w:cs="Arial"/>
          <w:noProof/>
          <w:sz w:val="18"/>
          <w:szCs w:val="18"/>
        </w:rPr>
        <w:t xml:space="preserve"> (2015)</w:t>
      </w:r>
      <w:r w:rsidRPr="00A71C62">
        <w:rPr>
          <w:rFonts w:cs="Arial"/>
          <w:noProof/>
          <w:sz w:val="18"/>
          <w:szCs w:val="18"/>
        </w:rPr>
        <w:t xml:space="preserve"> Osteogenesis of peripheral blood mesenchymal stem cells in self assembling peptide nanofiber for healing critical size calvar</w:t>
      </w:r>
      <w:r w:rsidR="004B68C9" w:rsidRPr="00A71C62">
        <w:rPr>
          <w:rFonts w:cs="Arial"/>
          <w:noProof/>
          <w:sz w:val="18"/>
          <w:szCs w:val="18"/>
        </w:rPr>
        <w:t xml:space="preserve">ial bony defect. Sci. Rep. </w:t>
      </w:r>
      <w:r w:rsidRPr="00A71C62">
        <w:rPr>
          <w:rFonts w:cs="Arial"/>
          <w:noProof/>
          <w:sz w:val="18"/>
          <w:szCs w:val="18"/>
        </w:rPr>
        <w:t xml:space="preserve">5:16681 </w:t>
      </w:r>
      <w:r w:rsidRPr="00A71C62">
        <w:rPr>
          <w:rFonts w:cstheme="majorHAnsi"/>
          <w:sz w:val="18"/>
          <w:szCs w:val="18"/>
        </w:rPr>
        <w:fldChar w:fldCharType="end"/>
      </w:r>
    </w:p>
    <w:p w:rsidR="00AE3E37" w:rsidRPr="00A71C62" w:rsidRDefault="00292ED9">
      <w:pPr>
        <w:pStyle w:val="a3"/>
        <w:spacing w:line="40" w:lineRule="exact"/>
        <w:ind w:left="2202"/>
        <w:rPr>
          <w:rFonts w:ascii="Calibri" w:hAnsi="Calibri"/>
          <w:sz w:val="4"/>
        </w:rPr>
      </w:pPr>
      <w:r w:rsidRPr="00A71C62">
        <w:rPr>
          <w:rFonts w:ascii="Calibri" w:hAns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46952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A71C62" w:rsidRDefault="008756E6" w:rsidP="00404E5B">
      <w:pPr>
        <w:spacing w:before="92"/>
        <w:ind w:right="4234"/>
        <w:rPr>
          <w:rFonts w:ascii="Calibri" w:hAnsi="Calibri"/>
        </w:rPr>
      </w:pPr>
      <w:r w:rsidRPr="00A71C62">
        <w:rPr>
          <w:rFonts w:ascii="Calibri" w:hAnsi="Calibri"/>
          <w:noProof/>
        </w:rPr>
        <w:lastRenderedPageBreak/>
        <w:t xml:space="preserve">           </w:t>
      </w:r>
      <w:r w:rsidR="00D21911" w:rsidRPr="00A71C62">
        <w:rPr>
          <w:rFonts w:ascii="Calibri" w:hAnsi="Calibri"/>
          <w:noProof/>
          <w:lang w:eastAsia="ja-JP"/>
        </w:rPr>
        <w:drawing>
          <wp:inline distT="0" distB="0" distL="0" distR="0">
            <wp:extent cx="563170" cy="845081"/>
            <wp:effectExtent l="0" t="0" r="889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39" cy="85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1C62">
        <w:rPr>
          <w:rFonts w:ascii="Calibri" w:hAnsi="Calibri"/>
          <w:noProof/>
        </w:rPr>
        <w:t xml:space="preserve">   </w:t>
      </w:r>
      <w:r w:rsidR="00A9710C" w:rsidRPr="00A71C62">
        <w:rPr>
          <w:rFonts w:ascii="Calibri" w:hAnsi="Calibri"/>
          <w:color w:val="BF5A14"/>
        </w:rPr>
        <w:t>Biography</w:t>
      </w:r>
      <w:r w:rsidR="00404E5B" w:rsidRPr="00A71C62">
        <w:rPr>
          <w:rFonts w:ascii="Calibri" w:hAnsi="Calibri"/>
          <w:color w:val="BF5A14"/>
        </w:rPr>
        <w:t xml:space="preserve"> (150 word limit)</w:t>
      </w:r>
    </w:p>
    <w:p w:rsidR="00E718EA" w:rsidRPr="008452D5" w:rsidRDefault="002D62D6" w:rsidP="008452D5">
      <w:pPr>
        <w:spacing w:before="41" w:line="154" w:lineRule="exact"/>
        <w:ind w:left="213" w:right="231"/>
        <w:jc w:val="both"/>
        <w:rPr>
          <w:rFonts w:ascii="Calibri" w:hAnsi="Calibri"/>
          <w:sz w:val="2"/>
        </w:rPr>
      </w:pPr>
      <w:r>
        <w:rPr>
          <w:rFonts w:ascii="Calibri" w:hAnsi="Calibri"/>
          <w:sz w:val="14"/>
        </w:rPr>
        <w:t xml:space="preserve">Eijiro Akasaka is an associate professor of Department of Dermatology, </w:t>
      </w:r>
      <w:proofErr w:type="spellStart"/>
      <w:r>
        <w:rPr>
          <w:rFonts w:ascii="Calibri" w:hAnsi="Calibri"/>
          <w:sz w:val="14"/>
        </w:rPr>
        <w:t>Hirosaki</w:t>
      </w:r>
      <w:proofErr w:type="spellEnd"/>
      <w:r>
        <w:rPr>
          <w:rFonts w:ascii="Calibri" w:hAnsi="Calibri"/>
          <w:sz w:val="14"/>
        </w:rPr>
        <w:t xml:space="preserve"> University</w:t>
      </w:r>
      <w:r w:rsidR="00E718EA">
        <w:rPr>
          <w:rFonts w:ascii="Calibri" w:hAnsi="Calibri"/>
          <w:sz w:val="14"/>
        </w:rPr>
        <w:t xml:space="preserve"> Graduate School of Medicine. He earned M.D. and Ph.D</w:t>
      </w:r>
      <w:r w:rsidR="008452D5">
        <w:rPr>
          <w:rFonts w:ascii="Calibri" w:hAnsi="Calibri"/>
          <w:sz w:val="14"/>
        </w:rPr>
        <w:t>.</w:t>
      </w:r>
      <w:r w:rsidR="00E718EA">
        <w:rPr>
          <w:rFonts w:ascii="Calibri" w:hAnsi="Calibri"/>
          <w:sz w:val="14"/>
        </w:rPr>
        <w:t xml:space="preserve"> degrees in Dermatology form </w:t>
      </w:r>
      <w:proofErr w:type="spellStart"/>
      <w:r w:rsidR="00E718EA">
        <w:rPr>
          <w:rFonts w:ascii="Calibri" w:hAnsi="Calibri"/>
          <w:sz w:val="14"/>
        </w:rPr>
        <w:t>Hirosaki</w:t>
      </w:r>
      <w:proofErr w:type="spellEnd"/>
      <w:r w:rsidR="00E718EA">
        <w:rPr>
          <w:rFonts w:ascii="Calibri" w:hAnsi="Calibri"/>
          <w:sz w:val="14"/>
        </w:rPr>
        <w:t xml:space="preserve"> University Graduate School of Medicine, Japan, in 2003 and 2011, respectively. </w:t>
      </w:r>
      <w:r w:rsidR="00D916C9">
        <w:rPr>
          <w:rFonts w:ascii="Calibri" w:hAnsi="Calibri"/>
          <w:sz w:val="14"/>
        </w:rPr>
        <w:t xml:space="preserve">He has worked at </w:t>
      </w:r>
      <w:proofErr w:type="spellStart"/>
      <w:r w:rsidR="00D916C9">
        <w:rPr>
          <w:rFonts w:ascii="Calibri" w:hAnsi="Calibri"/>
          <w:sz w:val="14"/>
        </w:rPr>
        <w:t>Hirosaki</w:t>
      </w:r>
      <w:proofErr w:type="spellEnd"/>
      <w:r w:rsidR="00D916C9">
        <w:rPr>
          <w:rFonts w:ascii="Calibri" w:hAnsi="Calibri"/>
          <w:sz w:val="14"/>
        </w:rPr>
        <w:t xml:space="preserve"> University Hospital, Japan, as a Dermatologist. </w:t>
      </w:r>
      <w:r w:rsidR="00E718EA">
        <w:rPr>
          <w:rFonts w:ascii="Calibri" w:hAnsi="Calibri"/>
          <w:sz w:val="14"/>
        </w:rPr>
        <w:t xml:space="preserve">His research interests include </w:t>
      </w:r>
      <w:r w:rsidR="008452D5">
        <w:rPr>
          <w:rFonts w:ascii="Calibri" w:hAnsi="Calibri"/>
          <w:sz w:val="14"/>
        </w:rPr>
        <w:t xml:space="preserve">diagnostic and therapeutic approach of genetic skin diseases, especially epidermolysis bullosa and disorders of keratinization, and autoimmune bullous diseases. </w:t>
      </w:r>
      <w:r w:rsidR="00E718EA">
        <w:rPr>
          <w:rFonts w:ascii="Calibri" w:hAnsi="Calibri"/>
          <w:sz w:val="14"/>
        </w:rPr>
        <w:t xml:space="preserve">He has received several awards including 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>The Japanese Society for Investigativ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 xml:space="preserve">e Dermatology </w:t>
      </w:r>
      <w:proofErr w:type="spellStart"/>
      <w:r w:rsidR="00E718EA" w:rsidRPr="00E718EA">
        <w:rPr>
          <w:rFonts w:ascii="Calibri" w:eastAsia="ＭＳ ゴシック" w:hAnsi="Calibri" w:cs="Arial"/>
          <w:sz w:val="14"/>
          <w:szCs w:val="24"/>
        </w:rPr>
        <w:t>Kisaragi</w:t>
      </w:r>
      <w:proofErr w:type="spellEnd"/>
      <w:r w:rsidR="00E718EA" w:rsidRPr="00E718EA">
        <w:rPr>
          <w:rFonts w:ascii="Calibri" w:eastAsia="ＭＳ ゴシック" w:hAnsi="Calibri" w:cs="Arial"/>
          <w:sz w:val="14"/>
          <w:szCs w:val="24"/>
        </w:rPr>
        <w:t xml:space="preserve"> Award </w:t>
      </w:r>
      <w:r w:rsidR="00E718EA" w:rsidRPr="00E718EA">
        <w:rPr>
          <w:rFonts w:ascii="Calibri" w:eastAsia="ＭＳ ゴシック" w:hAnsi="Calibri" w:cs="Arial" w:hint="eastAsia"/>
          <w:sz w:val="14"/>
          <w:szCs w:val="24"/>
          <w:lang w:eastAsia="ja-JP"/>
        </w:rPr>
        <w:t>(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>2010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>), T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>ravel Grant Award from the 3</w:t>
      </w:r>
      <w:r w:rsidR="00E718EA" w:rsidRPr="00E718EA">
        <w:rPr>
          <w:rFonts w:ascii="Calibri" w:eastAsia="ＭＳ ゴシック" w:hAnsi="Calibri" w:cs="Arial"/>
          <w:sz w:val="14"/>
          <w:szCs w:val="24"/>
          <w:vertAlign w:val="superscript"/>
        </w:rPr>
        <w:t>rd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 xml:space="preserve"> Eastern Asia Dermatology Congress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 xml:space="preserve"> (2014), and 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>Abstract Award of the 113</w:t>
      </w:r>
      <w:r w:rsidR="00E718EA" w:rsidRPr="00E718EA">
        <w:rPr>
          <w:rFonts w:ascii="Calibri" w:eastAsia="ＭＳ ゴシック" w:hAnsi="Calibri" w:cs="Arial"/>
          <w:sz w:val="14"/>
          <w:szCs w:val="24"/>
          <w:vertAlign w:val="superscript"/>
        </w:rPr>
        <w:t>th</w:t>
      </w:r>
      <w:r w:rsidR="00E718EA" w:rsidRPr="00E718EA">
        <w:rPr>
          <w:rFonts w:ascii="Calibri" w:eastAsia="ＭＳ ゴシック" w:hAnsi="Calibri" w:cs="Arial"/>
          <w:sz w:val="14"/>
          <w:szCs w:val="24"/>
        </w:rPr>
        <w:t xml:space="preserve"> Annual Meeting of the Japanese Dermatological Association</w:t>
      </w:r>
      <w:r w:rsidR="00E718EA">
        <w:rPr>
          <w:rFonts w:ascii="Calibri" w:eastAsia="ＭＳ ゴシック" w:hAnsi="Calibri" w:cs="Arial"/>
          <w:sz w:val="14"/>
          <w:szCs w:val="24"/>
        </w:rPr>
        <w:t xml:space="preserve"> (2014).</w:t>
      </w:r>
      <w:bookmarkStart w:id="0" w:name="_GoBack"/>
      <w:bookmarkEnd w:id="0"/>
    </w:p>
    <w:p w:rsidR="00AE3E37" w:rsidRPr="00A71C62" w:rsidRDefault="00A9710C">
      <w:pPr>
        <w:spacing w:before="62"/>
        <w:ind w:left="4217" w:right="4235"/>
        <w:jc w:val="center"/>
        <w:rPr>
          <w:rFonts w:ascii="Calibri" w:hAnsi="Calibri"/>
          <w:sz w:val="14"/>
        </w:rPr>
      </w:pPr>
      <w:r w:rsidRPr="00A71C62">
        <w:rPr>
          <w:rFonts w:ascii="Calibri" w:hAnsi="Calibri"/>
          <w:sz w:val="14"/>
        </w:rPr>
        <w:t xml:space="preserve">Email: </w:t>
      </w:r>
      <w:hyperlink r:id="rId12" w:history="1">
        <w:r w:rsidR="008B1395" w:rsidRPr="00A71C62">
          <w:rPr>
            <w:rStyle w:val="ac"/>
            <w:rFonts w:ascii="Calibri" w:hAnsi="Calibri"/>
            <w:sz w:val="14"/>
          </w:rPr>
          <w:t>akasakae@hirosaki-u.ac.jp</w:t>
        </w:r>
      </w:hyperlink>
    </w:p>
    <w:p w:rsidR="00AE3E37" w:rsidRPr="00A71C62" w:rsidRDefault="00292ED9">
      <w:pPr>
        <w:pStyle w:val="a3"/>
        <w:spacing w:before="2"/>
        <w:rPr>
          <w:rFonts w:ascii="Calibri" w:hAnsi="Calibri"/>
          <w:sz w:val="19"/>
        </w:rPr>
      </w:pPr>
      <w:r w:rsidRPr="00A71C62">
        <w:rPr>
          <w:rFonts w:ascii="Calibri" w:hAnsi="Calibri"/>
          <w:noProof/>
          <w:lang w:eastAsia="ja-JP"/>
        </w:rPr>
        <mc:AlternateContent>
          <mc:Choice Requires="wps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CC25D" id="Line 3" o:spid="_x0000_s1026" style="position:absolute;left:0;text-align:left;z-index: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71C62" w:rsidRDefault="00AE3E37">
      <w:pPr>
        <w:pStyle w:val="a3"/>
        <w:rPr>
          <w:rFonts w:ascii="Calibri" w:hAnsi="Calibri"/>
          <w:sz w:val="20"/>
        </w:rPr>
      </w:pPr>
    </w:p>
    <w:p w:rsidR="00AE3E37" w:rsidRPr="00A71C62" w:rsidRDefault="00AE3E37">
      <w:pPr>
        <w:pStyle w:val="a3"/>
        <w:rPr>
          <w:rFonts w:ascii="Calibri" w:hAnsi="Calibri"/>
          <w:sz w:val="20"/>
        </w:rPr>
      </w:pPr>
    </w:p>
    <w:p w:rsidR="00AE3E37" w:rsidRPr="00A71C62" w:rsidRDefault="00AE3E37">
      <w:pPr>
        <w:pStyle w:val="a3"/>
        <w:spacing w:before="7"/>
        <w:rPr>
          <w:rFonts w:ascii="Calibri" w:hAnsi="Calibri"/>
          <w:sz w:val="29"/>
        </w:rPr>
      </w:pPr>
    </w:p>
    <w:p w:rsidR="00AE3E37" w:rsidRPr="00F71504" w:rsidRDefault="00A9710C" w:rsidP="00F71504">
      <w:pPr>
        <w:spacing w:before="39"/>
        <w:ind w:left="100"/>
        <w:rPr>
          <w:rFonts w:ascii="Calibri" w:hAnsi="Calibri"/>
          <w:b/>
          <w:sz w:val="20"/>
        </w:rPr>
        <w:sectPr w:rsidR="00AE3E37" w:rsidRPr="00F71504" w:rsidSect="008D707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A71C62">
        <w:rPr>
          <w:rFonts w:ascii="Calibri" w:hAnsi="Calibri"/>
          <w:b/>
          <w:sz w:val="20"/>
        </w:rPr>
        <w:t>Notes/Comment</w:t>
      </w:r>
      <w:r w:rsidR="00F71504">
        <w:rPr>
          <w:rFonts w:ascii="Calibri" w:hAnsi="Calibri"/>
          <w:b/>
          <w:sz w:val="20"/>
        </w:rPr>
        <w:t>s</w:t>
      </w:r>
    </w:p>
    <w:p w:rsidR="00AE3E37" w:rsidRPr="00A71C62" w:rsidRDefault="00AE3E37" w:rsidP="00F71504">
      <w:pPr>
        <w:pStyle w:val="a3"/>
        <w:spacing w:before="3"/>
        <w:rPr>
          <w:rFonts w:ascii="Calibri" w:hAnsi="Calibri"/>
          <w:sz w:val="26"/>
        </w:rPr>
      </w:pPr>
    </w:p>
    <w:sectPr w:rsidR="00AE3E37" w:rsidRPr="00A71C62" w:rsidSect="008D7070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D3F" w:rsidRDefault="001A7D3F">
      <w:r>
        <w:separator/>
      </w:r>
    </w:p>
  </w:endnote>
  <w:endnote w:type="continuationSeparator" w:id="0">
    <w:p w:rsidR="001A7D3F" w:rsidRDefault="001A7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284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61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8947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D3F" w:rsidRDefault="001A7D3F">
      <w:r>
        <w:separator/>
      </w:r>
    </w:p>
  </w:footnote>
  <w:footnote w:type="continuationSeparator" w:id="0">
    <w:p w:rsidR="001A7D3F" w:rsidRDefault="001A7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3622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4953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1F12D84"/>
    <w:multiLevelType w:val="hybridMultilevel"/>
    <w:tmpl w:val="D5E08AC0"/>
    <w:lvl w:ilvl="0" w:tplc="7126338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71C6"/>
    <w:rsid w:val="000B28CA"/>
    <w:rsid w:val="000E2911"/>
    <w:rsid w:val="001263DF"/>
    <w:rsid w:val="00126EB7"/>
    <w:rsid w:val="001A7D3F"/>
    <w:rsid w:val="001C5793"/>
    <w:rsid w:val="00200931"/>
    <w:rsid w:val="002242A1"/>
    <w:rsid w:val="00292ED9"/>
    <w:rsid w:val="002D5881"/>
    <w:rsid w:val="002D62D6"/>
    <w:rsid w:val="00301A59"/>
    <w:rsid w:val="0032055D"/>
    <w:rsid w:val="00332E07"/>
    <w:rsid w:val="00375307"/>
    <w:rsid w:val="003C099F"/>
    <w:rsid w:val="003E1DC2"/>
    <w:rsid w:val="00404E5B"/>
    <w:rsid w:val="00414F7B"/>
    <w:rsid w:val="004355DC"/>
    <w:rsid w:val="004749B4"/>
    <w:rsid w:val="00494130"/>
    <w:rsid w:val="004A314B"/>
    <w:rsid w:val="004B68C9"/>
    <w:rsid w:val="004C012B"/>
    <w:rsid w:val="004F09FA"/>
    <w:rsid w:val="004F3523"/>
    <w:rsid w:val="005239A8"/>
    <w:rsid w:val="005973B9"/>
    <w:rsid w:val="005B3A56"/>
    <w:rsid w:val="005D3D44"/>
    <w:rsid w:val="006060CE"/>
    <w:rsid w:val="006276A2"/>
    <w:rsid w:val="0063497F"/>
    <w:rsid w:val="00693E34"/>
    <w:rsid w:val="006A237E"/>
    <w:rsid w:val="006B28F7"/>
    <w:rsid w:val="006D0D47"/>
    <w:rsid w:val="007B3874"/>
    <w:rsid w:val="00815344"/>
    <w:rsid w:val="00831D8D"/>
    <w:rsid w:val="008452D5"/>
    <w:rsid w:val="00873DF0"/>
    <w:rsid w:val="008756E6"/>
    <w:rsid w:val="008B1395"/>
    <w:rsid w:val="008D2670"/>
    <w:rsid w:val="008D7070"/>
    <w:rsid w:val="009269F7"/>
    <w:rsid w:val="00992E08"/>
    <w:rsid w:val="009B2D44"/>
    <w:rsid w:val="00A07E82"/>
    <w:rsid w:val="00A71C62"/>
    <w:rsid w:val="00A71E4D"/>
    <w:rsid w:val="00A9710C"/>
    <w:rsid w:val="00AE3E37"/>
    <w:rsid w:val="00B064C5"/>
    <w:rsid w:val="00B21A57"/>
    <w:rsid w:val="00B828C7"/>
    <w:rsid w:val="00BA4AD5"/>
    <w:rsid w:val="00C14049"/>
    <w:rsid w:val="00C33602"/>
    <w:rsid w:val="00C548A9"/>
    <w:rsid w:val="00CD6F55"/>
    <w:rsid w:val="00D21911"/>
    <w:rsid w:val="00D916C9"/>
    <w:rsid w:val="00DE3104"/>
    <w:rsid w:val="00E718EA"/>
    <w:rsid w:val="00F41252"/>
    <w:rsid w:val="00F47D56"/>
    <w:rsid w:val="00F70805"/>
    <w:rsid w:val="00F715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FA883C10-8007-44FC-8D87-10E3BCEE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kasakae@hirosaki-u.ac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17CAC-1C02-4B33-8859-3BDD2061C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eijiro akasaka</cp:lastModifiedBy>
  <cp:revision>35</cp:revision>
  <dcterms:created xsi:type="dcterms:W3CDTF">2017-02-09T05:36:00Z</dcterms:created>
  <dcterms:modified xsi:type="dcterms:W3CDTF">2017-05-31T11:04:00Z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