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media/image1.jpeg" ContentType="image/jpeg"/>
  <Override PartName="/word/header3.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Heading"/>
        <w:spacing w:before="170"/>
        <w:ind w:left="0" w:firstLine="0"/>
      </w:pPr>
      <w:r>
        <w:rPr>
          <w:rStyle w:val="None"/>
          <w:color w:val="337ab7"/>
          <w:u w:color="337ab7"/>
          <w:rtl w:val="0"/>
          <w:lang w:val="en-US"/>
        </w:rPr>
        <w:t>The dermatologic masquerader that shouldn</w:t>
      </w:r>
      <w:r>
        <w:rPr>
          <w:rStyle w:val="None"/>
          <w:color w:val="337ab7"/>
          <w:u w:color="337ab7"/>
          <w:rtl w:val="0"/>
          <w:lang w:val="en-US"/>
        </w:rPr>
        <w:t>’</w:t>
      </w:r>
      <w:r>
        <w:rPr>
          <w:rStyle w:val="None"/>
          <w:color w:val="337ab7"/>
          <w:u w:color="337ab7"/>
          <w:rtl w:val="0"/>
          <w:lang w:val="en-US"/>
        </w:rPr>
        <w:t>t be forgotten</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Wedad Abdelrahman, MB BCh BAO MRCP (UK), Dermatology Specialist registrar, Northern Ireland, UK</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Maureen Y Walsh, Consultant pathologist, Northern Ireland, UK</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Keith Armstrong</w:t>
      </w:r>
      <w:r>
        <w:rPr>
          <w:rStyle w:val="None"/>
          <w:rFonts w:ascii="Arial" w:hAnsi="Arial"/>
          <w:rtl w:val="0"/>
          <w:lang w:val="en-US"/>
        </w:rPr>
        <w:t>, Consultant Dermatolog</w:t>
      </w:r>
      <w:r>
        <w:rPr>
          <w:rStyle w:val="None"/>
          <w:rFonts w:ascii="Arial" w:hAnsi="Arial"/>
          <w:rtl w:val="0"/>
          <w:lang w:val="en-US"/>
        </w:rPr>
        <w:t>ist</w:t>
      </w:r>
      <w:r>
        <w:rPr>
          <w:rStyle w:val="None"/>
          <w:rFonts w:ascii="Arial" w:hAnsi="Arial"/>
          <w:rtl w:val="0"/>
          <w:lang w:val="en-US"/>
        </w:rPr>
        <w:t>, Northern Ireland, UK</w:t>
      </w:r>
    </w:p>
    <w:p>
      <w:pPr>
        <w:pStyle w:val="Body Text"/>
        <w:rPr>
          <w:rFonts w:ascii="Arial" w:cs="Arial" w:hAnsi="Arial" w:eastAsia="Arial"/>
          <w:sz w:val="20"/>
          <w:szCs w:val="20"/>
        </w:rPr>
      </w:pPr>
    </w:p>
    <w:p>
      <w:pPr>
        <w:pStyle w:val="Body Text"/>
        <w:spacing w:before="3"/>
        <w:rPr>
          <w:rFonts w:ascii="Arial" w:cs="Arial" w:hAnsi="Arial" w:eastAsia="Arial"/>
          <w:sz w:val="21"/>
          <w:szCs w:val="21"/>
        </w:rPr>
      </w:pPr>
    </w:p>
    <w:p>
      <w:pPr>
        <w:pStyle w:val="Body"/>
        <w:sectPr>
          <w:headerReference w:type="default" r:id="rId4"/>
          <w:footerReference w:type="default" r:id="rId5"/>
          <w:pgSz w:w="11920" w:h="16840" w:orient="portrait"/>
          <w:pgMar w:top="1740" w:right="600" w:bottom="840" w:left="620" w:header="541" w:footer="642"/>
          <w:bidi w:val="0"/>
        </w:sectPr>
      </w:pPr>
    </w:p>
    <w:p>
      <w:pPr>
        <w:pStyle w:val="Heading 3"/>
        <w:spacing w:before="147"/>
        <w:jc w:val="both"/>
      </w:pPr>
      <w:r>
        <w:rPr>
          <w:rStyle w:val="None"/>
          <w:color w:val="bf5a14"/>
          <w:u w:color="bf5a14"/>
          <w:rtl w:val="0"/>
          <w:lang w:val="en-US"/>
        </w:rPr>
        <w:t>Abstract (300 word limit)</w:t>
      </w:r>
    </w:p>
    <w:p>
      <w:pPr>
        <w:pStyle w:val="Body Text"/>
        <w:spacing w:before="90" w:line="280" w:lineRule="auto"/>
        <w:ind w:left="100" w:firstLine="0"/>
        <w:jc w:val="both"/>
      </w:pPr>
      <w:r>
        <w:rPr>
          <w:rtl w:val="0"/>
          <w:lang w:val="en-US"/>
        </w:rPr>
        <w:t>A 38 year old gentleman was referred for assessment of an asymptomatic lesion at the right anterior hairline of one year duration.  This occurred at the site of a previous skull fracture at 2 years of age.  Examination revealed a 1.2cm orange non scaly centrally atrophic plaque.  Interestingly, this gentleman admitted to a notably reduced exercise tolerance over recent years.  Skin biopsy showed sarcoid-like granulomata with no evidence of necrobiosis.  Doubly refractile material was associated with granulomatous areas under polarised light.  Chest x-ray revealed hilar prominence and high resolution CT chest showed diffuse nodularity throughout both lung fields with enlarged hilar and mediastinal lymph nodes- appearances were felt typical of lung sarcoidosis.  Skin involvement occurs in 25% of sarcoidosis cases</w:t>
      </w:r>
      <w:r>
        <w:rPr>
          <w:rStyle w:val="None"/>
          <w:vertAlign w:val="superscript"/>
          <w:rtl w:val="0"/>
          <w:lang w:val="en-US"/>
        </w:rPr>
        <w:t>1</w:t>
      </w:r>
      <w:r>
        <w:rPr>
          <w:rtl w:val="0"/>
          <w:lang w:val="en-US"/>
        </w:rPr>
        <w:t>.  Scar sarcoidosis is an uncommon cutaneous manifestation of the disease- it may occur in 5.4 to 13.8% of patients with cutaneous sarcoidosis</w:t>
      </w:r>
      <w:r>
        <w:rPr>
          <w:rStyle w:val="None"/>
          <w:vertAlign w:val="superscript"/>
          <w:rtl w:val="0"/>
          <w:lang w:val="en-US"/>
        </w:rPr>
        <w:t>2</w:t>
      </w:r>
      <w:r>
        <w:rPr>
          <w:rtl w:val="0"/>
          <w:lang w:val="en-US"/>
        </w:rPr>
        <w:t>.  Although scar sarcoidosis may occur in scars from previous wounds, it has also been reported at tattoo sites; desensitisation injections; venepuncture and healed herpes zoster lesions, after a variable period between 6 months and 59 years</w:t>
      </w:r>
      <w:r>
        <w:rPr>
          <w:rStyle w:val="None"/>
          <w:vertAlign w:val="superscript"/>
          <w:rtl w:val="0"/>
          <w:lang w:val="en-US"/>
        </w:rPr>
        <w:t>2,3</w:t>
      </w:r>
      <w:r>
        <w:rPr>
          <w:rtl w:val="0"/>
          <w:lang w:val="en-US"/>
        </w:rPr>
        <w:t>.  Previous contamination of scars with foreign material has been suggested to be a possible underlying cause.  Treatment and prognosis depend on the degree of systemic involvement.  Topical corticosteroid therapy alone may be sufficient for solely cutaneous disease.  In cases where scar sarcoidosis is the only manifestation of the disease, allopurinol 300mg once daily has been found to be effective</w:t>
      </w:r>
      <w:r>
        <w:rPr>
          <w:rStyle w:val="None"/>
          <w:vertAlign w:val="superscript"/>
          <w:rtl w:val="0"/>
          <w:lang w:val="en-US"/>
        </w:rPr>
        <w:t>4</w:t>
      </w:r>
      <w:r>
        <w:rPr>
          <w:rtl w:val="0"/>
          <w:lang w:val="en-US"/>
        </w:rPr>
        <w:t>.</w:t>
      </w:r>
    </w:p>
    <w:p>
      <w:pPr>
        <w:pStyle w:val="Heading 3"/>
        <w:spacing w:before="74"/>
      </w:pPr>
      <w:r>
        <w:rPr>
          <w:rStyle w:val="None"/>
          <w:rFonts w:ascii="Arial Unicode MS" w:cs="Arial Unicode MS" w:hAnsi="Arial Unicode MS" w:eastAsia="Arial Unicode MS"/>
          <w:b w:val="0"/>
          <w:bCs w:val="0"/>
          <w:i w:val="0"/>
          <w:iCs w:val="0"/>
        </w:rPr>
        <w:br w:type="column"/>
      </w:r>
    </w:p>
    <w:p>
      <w:pPr>
        <w:pStyle w:val="Heading 3"/>
        <w:spacing w:before="74"/>
      </w:pPr>
    </w:p>
    <w:p>
      <w:pPr>
        <w:pStyle w:val="Body Text"/>
        <w:spacing w:before="2"/>
        <w:rPr>
          <w:rStyle w:val="None"/>
          <w:rFonts w:ascii="Arial" w:cs="Arial" w:hAnsi="Arial" w:eastAsia="Arial"/>
          <w:b w:val="1"/>
          <w:bCs w:val="1"/>
          <w:sz w:val="16"/>
          <w:szCs w:val="16"/>
        </w:rPr>
      </w:pPr>
    </w:p>
    <w:p>
      <w:pPr>
        <w:pStyle w:val="Body"/>
        <w:spacing w:line="204" w:lineRule="exact"/>
        <w:rPr>
          <w:rStyle w:val="None"/>
          <w:rFonts w:ascii="Arial" w:cs="Arial" w:hAnsi="Arial" w:eastAsia="Arial"/>
          <w:b w:val="1"/>
          <w:bCs w:val="1"/>
          <w:sz w:val="20"/>
          <w:szCs w:val="20"/>
        </w:rPr>
      </w:pPr>
      <w:r>
        <w:rPr>
          <w:rStyle w:val="None"/>
          <w:rFonts w:ascii="Arial Unicode MS" w:cs="Arial Unicode MS" w:hAnsi="Arial Unicode MS" w:eastAsia="Arial Unicode MS"/>
          <w:b w:val="0"/>
          <w:bCs w:val="0"/>
          <w:i w:val="0"/>
          <w:iCs w:val="0"/>
          <w:color w:val="bf5a14"/>
          <w:sz w:val="20"/>
          <w:szCs w:val="20"/>
          <w:u w:color="bf5a14"/>
        </w:rPr>
        <w:br w:type="textWrapping"/>
      </w:r>
      <w:r>
        <w:rPr>
          <w:rStyle w:val="None"/>
          <w:rFonts w:ascii="Arial" w:hAnsi="Arial"/>
          <w:b w:val="1"/>
          <w:bCs w:val="1"/>
          <w:color w:val="bf5a14"/>
          <w:sz w:val="20"/>
          <w:szCs w:val="20"/>
          <w:u w:color="bf5a14"/>
          <w:rtl w:val="0"/>
          <w:lang w:val="en-US"/>
        </w:rPr>
        <w:t>R</w:t>
      </w:r>
      <w:r>
        <w:rPr>
          <w:rStyle w:val="None"/>
          <w:rFonts w:ascii="Arial" w:hAnsi="Arial"/>
          <w:b w:val="1"/>
          <w:bCs w:val="1"/>
          <w:color w:val="bf5a14"/>
          <w:sz w:val="20"/>
          <w:szCs w:val="20"/>
          <w:u w:color="bf5a14"/>
          <w:rtl w:val="0"/>
          <w:lang w:val="fr-FR"/>
        </w:rPr>
        <w:t>ecent Publications (minimum 5)</w:t>
      </w:r>
    </w:p>
    <w:p>
      <w:pPr>
        <w:pStyle w:val="List Paragraph"/>
        <w:numPr>
          <w:ilvl w:val="0"/>
          <w:numId w:val="2"/>
        </w:numPr>
        <w:bidi w:val="0"/>
        <w:spacing w:before="103" w:line="216" w:lineRule="exact"/>
        <w:ind w:right="138"/>
        <w:jc w:val="both"/>
        <w:rPr>
          <w:rStyle w:val="None"/>
          <w:sz w:val="18"/>
          <w:szCs w:val="18"/>
          <w:rtl w:val="0"/>
          <w:lang w:val="en-US"/>
        </w:rPr>
      </w:pPr>
      <w:r>
        <w:rPr>
          <w:rStyle w:val="None"/>
          <w:sz w:val="18"/>
          <w:szCs w:val="18"/>
          <w:rtl w:val="0"/>
          <w:lang w:val="en-US"/>
        </w:rPr>
        <w:t>English JC, Patel PJ, Greer KE.  Sarcoidosis.  J Am Acad Dermatol 2001; 44: 725-743.</w:t>
      </w:r>
    </w:p>
    <w:p>
      <w:pPr>
        <w:pStyle w:val="List Paragraph"/>
        <w:numPr>
          <w:ilvl w:val="0"/>
          <w:numId w:val="2"/>
        </w:numPr>
        <w:bidi w:val="0"/>
        <w:spacing w:line="216" w:lineRule="exact"/>
        <w:ind w:right="137"/>
        <w:jc w:val="both"/>
        <w:rPr>
          <w:rStyle w:val="None"/>
          <w:sz w:val="18"/>
          <w:szCs w:val="18"/>
          <w:rtl w:val="0"/>
          <w:lang w:val="en-US"/>
        </w:rPr>
      </w:pPr>
      <w:r>
        <w:rPr>
          <w:rStyle w:val="None"/>
          <w:sz w:val="18"/>
          <w:szCs w:val="18"/>
          <w:rtl w:val="0"/>
          <w:lang w:val="en-US"/>
        </w:rPr>
        <w:t>Mana J, Marcoval J, Graells J, Salazar A, Peyri J, Pujol R.  Cutaneous involvement in sarcoidosis.  Relationship to systemic disease.  Arch Dermatol 1997; 133: 882-8.</w:t>
      </w:r>
    </w:p>
    <w:p>
      <w:pPr>
        <w:pStyle w:val="List Paragraph"/>
        <w:numPr>
          <w:ilvl w:val="0"/>
          <w:numId w:val="2"/>
        </w:numPr>
        <w:bidi w:val="0"/>
        <w:spacing w:line="216" w:lineRule="exact"/>
        <w:ind w:right="138"/>
        <w:jc w:val="both"/>
        <w:rPr>
          <w:rStyle w:val="None"/>
          <w:sz w:val="18"/>
          <w:szCs w:val="18"/>
          <w:rtl w:val="0"/>
          <w:lang w:val="en-US"/>
        </w:rPr>
      </w:pPr>
      <w:r>
        <w:rPr>
          <w:rStyle w:val="None"/>
          <w:sz w:val="18"/>
          <w:szCs w:val="18"/>
          <w:rtl w:val="0"/>
          <w:lang w:val="en-US"/>
        </w:rPr>
        <w:t>Payne CM, Thomas RH, Black MM.  From silica granulomas to scar sarcoidosis.  Clin Exp Dermatol 1983; 8: 171-175.</w:t>
      </w:r>
    </w:p>
    <w:p>
      <w:pPr>
        <w:pStyle w:val="List Paragraph"/>
        <w:numPr>
          <w:ilvl w:val="0"/>
          <w:numId w:val="2"/>
        </w:numPr>
        <w:bidi w:val="0"/>
        <w:spacing w:before="92" w:line="218" w:lineRule="exact"/>
        <w:ind w:right="0"/>
        <w:jc w:val="both"/>
        <w:rPr>
          <w:rStyle w:val="None"/>
          <w:rFonts w:ascii="Calibri" w:cs="Calibri" w:hAnsi="Calibri" w:eastAsia="Calibri"/>
          <w:sz w:val="18"/>
          <w:szCs w:val="18"/>
          <w:rtl w:val="0"/>
          <w:lang w:val="en-US"/>
        </w:rPr>
      </w:pPr>
      <w:r>
        <w:rPr>
          <w:rStyle w:val="None"/>
          <w:sz w:val="18"/>
          <w:szCs w:val="18"/>
          <w:rtl w:val="0"/>
          <w:lang w:val="en-US"/>
        </w:rPr>
        <w:t>Pfau A, Stolz W, Karrer S et al.  Allopurinol in treatment of cutaneous sarcoidosis.  Hautarztn 1998; 49: 216-8.</w:t>
      </w:r>
    </w:p>
    <w:p>
      <w:pPr>
        <w:pStyle w:val="Body Text"/>
        <w:spacing w:before="85" w:line="216" w:lineRule="exact"/>
        <w:ind w:left="383" w:right="138" w:hanging="284"/>
        <w:jc w:val="both"/>
        <w:rPr>
          <w:rStyle w:val="None"/>
          <w:rFonts w:ascii="Calibri" w:cs="Calibri" w:hAnsi="Calibri" w:eastAsia="Calibri"/>
        </w:rPr>
      </w:pPr>
    </w:p>
    <w:p>
      <w:pPr>
        <w:pStyle w:val="Body"/>
        <w:tabs>
          <w:tab w:val="left" w:pos="384"/>
        </w:tabs>
        <w:ind w:right="117"/>
      </w:pPr>
    </w:p>
    <w:p>
      <w:pPr>
        <w:pStyle w:val="Body"/>
        <w:spacing w:line="200" w:lineRule="exact"/>
        <w:jc w:val="both"/>
        <w:sectPr>
          <w:headerReference w:type="default" r:id="rId6"/>
          <w:footerReference w:type="default" r:id="rId7"/>
          <w:type w:val="continuous"/>
          <w:pgSz w:w="11920" w:h="16840" w:orient="portrait"/>
          <w:pgMar w:top="1740" w:right="600" w:bottom="840" w:left="620" w:header="541" w:footer="642"/>
          <w:cols w:num="2" w:equalWidth="0">
            <w:col w:w="5229" w:space="138"/>
            <w:col w:w="5353" w:space="0"/>
          </w:cols>
          <w:bidi w:val="0"/>
        </w:sectPr>
      </w:pPr>
      <w:r>
        <w:rPr>
          <w:rStyle w:val="None"/>
          <w:rFonts w:ascii="Calibri" w:cs="Calibri" w:hAnsi="Calibri" w:eastAsia="Calibri"/>
          <w:rtl w:val="0"/>
        </w:rPr>
        <w:t xml:space="preserve">   </w:t>
      </w:r>
    </w:p>
    <w:p>
      <w:pPr>
        <w:pStyle w:val="Body Text"/>
        <w:rPr>
          <w:rFonts w:ascii="Calibri" w:cs="Calibri" w:hAnsi="Calibri" w:eastAsia="Calibri"/>
          <w:sz w:val="20"/>
          <w:szCs w:val="20"/>
        </w:rPr>
      </w:pPr>
    </w:p>
    <w:p>
      <w:pPr>
        <w:pStyle w:val="Body Text"/>
        <w:spacing w:line="40" w:lineRule="exact"/>
        <w:ind w:left="2202" w:firstLine="0"/>
        <w:rPr>
          <w:rStyle w:val="None"/>
          <w:rFonts w:ascii="Calibri" w:cs="Calibri" w:hAnsi="Calibri" w:eastAsia="Calibri"/>
          <w:sz w:val="4"/>
          <w:szCs w:val="4"/>
        </w:rPr>
      </w:pPr>
      <w:r>
        <w:rPr>
          <w:rStyle w:val="None"/>
          <w:rFonts w:ascii="Calibri" w:cs="Calibri" w:hAnsi="Calibri" w:eastAsia="Calibri"/>
          <w:sz w:val="4"/>
          <w:szCs w:val="4"/>
        </w:rPr>
        <mc:AlternateContent>
          <mc:Choice Requires="wps">
            <w:drawing>
              <wp:inline distT="0" distB="0" distL="0" distR="0">
                <wp:extent cx="3950335" cy="0"/>
                <wp:effectExtent l="0" t="0" r="0" b="0"/>
                <wp:docPr id="1073741840" name="officeArt object"/>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w:spacing w:before="92"/>
        <w:ind w:right="4234"/>
        <w:rPr>
          <w:rStyle w:val="None"/>
          <w:rFonts w:ascii="Arial" w:cs="Arial" w:hAnsi="Arial" w:eastAsia="Arial"/>
        </w:rPr>
      </w:pPr>
      <w:r>
        <w:rPr>
          <w:rtl w:val="0"/>
        </w:rPr>
        <w:t xml:space="preserve">              </w:t>
      </w:r>
      <w:r>
        <w:drawing>
          <wp:inline distT="0" distB="0" distL="0" distR="0">
            <wp:extent cx="457200" cy="801886"/>
            <wp:effectExtent l="0" t="0" r="0" b="0"/>
            <wp:docPr id="1073741841" name="officeArt object" descr="Image result for wedad abdelrahman"/>
            <wp:cNvGraphicFramePr/>
            <a:graphic xmlns:a="http://schemas.openxmlformats.org/drawingml/2006/main">
              <a:graphicData uri="http://schemas.openxmlformats.org/drawingml/2006/picture">
                <pic:pic xmlns:pic="http://schemas.openxmlformats.org/drawingml/2006/picture">
                  <pic:nvPicPr>
                    <pic:cNvPr id="1073741841" name="image1.jpg" descr="Image result for wedad abdelrahman"/>
                    <pic:cNvPicPr>
                      <a:picLocks noChangeAspect="1"/>
                    </pic:cNvPicPr>
                  </pic:nvPicPr>
                  <pic:blipFill>
                    <a:blip r:embed="rId8">
                      <a:extLst/>
                    </a:blip>
                    <a:stretch>
                      <a:fillRect/>
                    </a:stretch>
                  </pic:blipFill>
                  <pic:spPr>
                    <a:xfrm>
                      <a:off x="0" y="0"/>
                      <a:ext cx="457200" cy="801886"/>
                    </a:xfrm>
                    <a:prstGeom prst="rect">
                      <a:avLst/>
                    </a:prstGeom>
                    <a:ln w="12700" cap="flat">
                      <a:noFill/>
                      <a:miter lim="400000"/>
                    </a:ln>
                    <a:effectLst/>
                  </pic:spPr>
                </pic:pic>
              </a:graphicData>
            </a:graphic>
          </wp:inline>
        </w:drawing>
      </w:r>
      <w:r>
        <w:rPr>
          <w:rStyle w:val="None"/>
          <w:rFonts w:ascii="Arial" w:hAnsi="Arial"/>
          <w:color w:val="bf5a14"/>
          <w:u w:color="bf5a14"/>
          <w:rtl w:val="0"/>
          <w:lang w:val="en-US"/>
        </w:rPr>
        <w:t>Biography (150 word limit)</w:t>
      </w:r>
    </w:p>
    <w:p>
      <w:pPr>
        <w:pStyle w:val="Body"/>
        <w:spacing w:before="41" w:line="154" w:lineRule="exact"/>
        <w:ind w:left="213" w:right="231" w:firstLine="0"/>
        <w:jc w:val="both"/>
        <w:rPr>
          <w:rStyle w:val="None"/>
          <w:rFonts w:ascii="Arial" w:cs="Arial" w:hAnsi="Arial" w:eastAsia="Arial"/>
          <w:sz w:val="14"/>
          <w:szCs w:val="14"/>
        </w:rPr>
      </w:pPr>
      <w:r>
        <w:rPr>
          <w:rStyle w:val="None"/>
          <w:rFonts w:ascii="Arial" w:hAnsi="Arial"/>
          <w:sz w:val="14"/>
          <w:szCs w:val="14"/>
          <w:rtl w:val="0"/>
          <w:lang w:val="es-ES_tradnl"/>
        </w:rPr>
        <w:t xml:space="preserve">Wedad Abdelrahman, graduated </w:t>
      </w:r>
      <w:r>
        <w:rPr>
          <w:rStyle w:val="None"/>
          <w:rFonts w:ascii="Arial" w:hAnsi="Arial"/>
          <w:sz w:val="14"/>
          <w:szCs w:val="14"/>
          <w:rtl w:val="0"/>
          <w:lang w:val="en-US"/>
        </w:rPr>
        <w:t xml:space="preserve">with Distinction </w:t>
      </w:r>
      <w:r>
        <w:rPr>
          <w:rStyle w:val="None"/>
          <w:rFonts w:ascii="Arial" w:hAnsi="Arial"/>
          <w:sz w:val="14"/>
          <w:szCs w:val="14"/>
          <w:rtl w:val="0"/>
          <w:lang w:val="en-US"/>
        </w:rPr>
        <w:t>from Queen</w:t>
      </w:r>
      <w:r>
        <w:rPr>
          <w:rStyle w:val="None"/>
          <w:rFonts w:ascii="Arial" w:hAnsi="Arial" w:hint="default"/>
          <w:sz w:val="14"/>
          <w:szCs w:val="14"/>
          <w:rtl w:val="0"/>
          <w:lang w:val="fr-FR"/>
        </w:rPr>
        <w:t>’</w:t>
      </w:r>
      <w:r>
        <w:rPr>
          <w:rStyle w:val="None"/>
          <w:rFonts w:ascii="Arial" w:hAnsi="Arial"/>
          <w:sz w:val="14"/>
          <w:szCs w:val="14"/>
          <w:rtl w:val="0"/>
          <w:lang w:val="en-US"/>
        </w:rPr>
        <w:t>s University of Belfast, Northern Ireland in 2010.  Dermatology specialist registrar training commenced in 2014 (Northern Ireland deanery).</w:t>
      </w:r>
    </w:p>
    <w:p>
      <w:pPr>
        <w:pStyle w:val="Body"/>
        <w:spacing w:before="41" w:line="154" w:lineRule="exact"/>
        <w:ind w:left="213" w:right="231" w:firstLine="0"/>
        <w:jc w:val="both"/>
        <w:rPr>
          <w:rStyle w:val="None"/>
          <w:rFonts w:ascii="Arial" w:cs="Arial" w:hAnsi="Arial" w:eastAsia="Arial"/>
          <w:sz w:val="14"/>
          <w:szCs w:val="14"/>
        </w:rPr>
      </w:pPr>
    </w:p>
    <w:p>
      <w:pPr>
        <w:pStyle w:val="Body"/>
        <w:spacing w:before="62"/>
        <w:ind w:left="4217" w:right="4235" w:firstLine="0"/>
        <w:jc w:val="center"/>
        <w:rPr>
          <w:rStyle w:val="None"/>
          <w:rFonts w:ascii="Arial" w:cs="Arial" w:hAnsi="Arial" w:eastAsia="Arial"/>
          <w:sz w:val="14"/>
          <w:szCs w:val="14"/>
        </w:rPr>
      </w:pPr>
      <w:r>
        <w:rPr>
          <w:rStyle w:val="None"/>
          <w:rFonts w:ascii="Arial" w:hAnsi="Arial"/>
          <w:sz w:val="14"/>
          <w:szCs w:val="14"/>
          <w:rtl w:val="0"/>
        </w:rPr>
        <w:t>Email</w:t>
      </w:r>
      <w:r>
        <w:rPr>
          <w:rStyle w:val="None"/>
          <w:rFonts w:ascii="Arial" w:hAnsi="Arial"/>
          <w:sz w:val="14"/>
          <w:szCs w:val="14"/>
          <w:rtl w:val="0"/>
          <w:lang w:val="en-US"/>
        </w:rPr>
        <w:t>: wedadabdelrahman@doctors.org.uk</w:t>
      </w:r>
    </w:p>
    <w:p>
      <w:pPr>
        <w:pStyle w:val="Body Text"/>
        <w:spacing w:before="2"/>
        <w:rPr>
          <w:rStyle w:val="None"/>
          <w:rFonts w:ascii="Arial" w:cs="Arial" w:hAnsi="Arial" w:eastAsia="Arial"/>
          <w:sz w:val="19"/>
          <w:szCs w:val="19"/>
        </w:rPr>
      </w:pPr>
      <w: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42" name="officeArt object"/>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Fonts w:ascii="Arial" w:cs="Arial" w:hAnsi="Arial" w:eastAsia="Arial"/>
          <w:sz w:val="20"/>
          <w:szCs w:val="20"/>
        </w:rPr>
      </w:pPr>
    </w:p>
    <w:p>
      <w:pPr>
        <w:pStyle w:val="Body Text"/>
        <w:rPr>
          <w:rFonts w:ascii="Arial" w:cs="Arial" w:hAnsi="Arial" w:eastAsia="Arial"/>
          <w:sz w:val="20"/>
          <w:szCs w:val="20"/>
        </w:rPr>
      </w:pPr>
    </w:p>
    <w:p>
      <w:pPr>
        <w:pStyle w:val="Body Text"/>
        <w:spacing w:before="7"/>
        <w:rPr>
          <w:rFonts w:ascii="Arial" w:cs="Arial" w:hAnsi="Arial" w:eastAsia="Arial"/>
          <w:sz w:val="29"/>
          <w:szCs w:val="29"/>
        </w:rPr>
      </w:pPr>
    </w:p>
    <w:p>
      <w:pPr>
        <w:pStyle w:val="Body"/>
        <w:spacing w:before="39"/>
        <w:ind w:left="100" w:firstLine="0"/>
        <w:rPr>
          <w:rStyle w:val="None"/>
          <w:rFonts w:ascii="Minion Pro" w:cs="Minion Pro" w:hAnsi="Minion Pro" w:eastAsia="Minion Pro"/>
          <w:b w:val="1"/>
          <w:bCs w:val="1"/>
          <w:sz w:val="20"/>
          <w:szCs w:val="20"/>
        </w:rPr>
      </w:pPr>
      <w:r>
        <w:rPr>
          <w:rStyle w:val="None"/>
          <w:rFonts w:ascii="Minion Pro" w:cs="Minion Pro" w:hAnsi="Minion Pro" w:eastAsia="Minion Pro"/>
          <w:b w:val="1"/>
          <w:bCs w:val="1"/>
          <w:sz w:val="20"/>
          <w:szCs w:val="20"/>
          <w:rtl w:val="0"/>
          <w:lang w:val="fr-FR"/>
        </w:rPr>
        <w:t>Notes/Comments:</w:t>
      </w:r>
    </w:p>
    <w:p>
      <w:pPr>
        <w:pStyle w:val="Body"/>
      </w:pPr>
      <w:r>
        <w:rPr>
          <w:rStyle w:val="None"/>
          <w:rFonts w:ascii="Minion Pro" w:cs="Minion Pro" w:hAnsi="Minion Pro" w:eastAsia="Minion Pro"/>
          <w:b w:val="1"/>
          <w:bCs w:val="1"/>
          <w:sz w:val="20"/>
          <w:szCs w:val="20"/>
        </w:rPr>
        <w:br w:type="page"/>
      </w:r>
    </w:p>
    <w:sectPr>
      <w:headerReference w:type="default" r:id="rId9"/>
      <w:footerReference w:type="default" r:id="rId10"/>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Fonts w:ascii="Arial" w:hAnsi="Arial"/>
                              <w:color w:val="ffffff"/>
                              <w:sz w:val="14"/>
                              <w:szCs w:val="14"/>
                              <w:u w:color="ffffff"/>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wps:txbx>
                    <wps:bodyPr wrap="square" lIns="0" tIns="0" rIns="0" bIns="0" numCol="1" anchor="t">
                      <a:noAutofit/>
                    </wps:bodyPr>
                  </wps:wsp>
                </a:graphicData>
              </a:graphic>
            </wp:anchor>
          </w:drawing>
        </mc:Choice>
        <mc:Fallback>
          <w:pict>
            <v:rect id="_x0000_s1028"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Fonts w:ascii="Arial" w:hAnsi="Arial"/>
                        <w:color w:val="ffffff"/>
                        <w:sz w:val="14"/>
                        <w:szCs w:val="14"/>
                        <w:u w:color="ffffff"/>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v:textbox>
              <w10:wrap type="none" side="bothSides" anchorx="page" anchory="page"/>
            </v:rect>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wps:txbx>
                    <wps:bodyPr wrap="square" lIns="0" tIns="0" rIns="0" bIns="0" numCol="1" anchor="t">
                      <a:noAutofit/>
                    </wps:bodyPr>
                  </wps:wsp>
                </a:graphicData>
              </a:graphic>
            </wp:anchor>
          </w:drawing>
        </mc:Choice>
        <mc:Fallback>
          <w:pict>
            <v:rect id="_x0000_s1029"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v:textbox>
              <w10:wrap type="none" side="bothSides" anchorx="page" anchory="page"/>
            </v:rect>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wp:cNvGraphicFramePr/>
              <a:graphic xmlns:a="http://schemas.openxmlformats.org/drawingml/2006/main">
                <a:graphicData uri="http://schemas.microsoft.com/office/word/2010/wordprocessingShape">
                  <wps:wsp>
                    <wps:cNvSpPr/>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rect id="_x0000_s1030"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rect>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28" name="officeArt object"/>
              <wp:cNvGraphicFramePr/>
              <a:graphic xmlns:a="http://schemas.openxmlformats.org/drawingml/2006/main">
                <a:graphicData uri="http://schemas.microsoft.com/office/word/2010/wordprocessingShape">
                  <wps:wsp>
                    <wps:cNvSpPr/>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wps:txbx>
                    <wps:bodyPr wrap="square" lIns="0" tIns="0" rIns="0" bIns="0" numCol="1" anchor="t">
                      <a:noAutofit/>
                    </wps:bodyPr>
                  </wps:wsp>
                </a:graphicData>
              </a:graphic>
            </wp:anchor>
          </w:drawing>
        </mc:Choice>
        <mc:Fallback>
          <w:pict>
            <v:rect id="_x0000_s1031"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v:textbox>
              <w10:wrap type="none" side="bothSides" anchorx="page" anchory="page"/>
            </v:rect>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wp:cNvGraphicFramePr/>
              <a:graphic xmlns:a="http://schemas.openxmlformats.org/drawingml/2006/main">
                <a:graphicData uri="http://schemas.microsoft.com/office/word/2010/wordprocessingShape">
                  <wps:wsp>
                    <wps:cNvSpPr/>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wps:txbx>
                    <wps:bodyPr wrap="square" lIns="0" tIns="0" rIns="0" bIns="0" numCol="1" anchor="t">
                      <a:noAutofit/>
                    </wps:bodyPr>
                  </wps:wsp>
                </a:graphicData>
              </a:graphic>
            </wp:anchor>
          </w:drawing>
        </mc:Choice>
        <mc:Fallback>
          <w:pict>
            <v:rect id="_x0000_s103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v:textbox>
              <w10:wrap type="none" side="bothSides" anchorx="page" anchory="page"/>
            </v:rect>
          </w:pict>
        </mc:Fallback>
      </mc:AlternateConten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30" name="officeArt object"/>
              <wp:cNvGraphicFramePr/>
              <a:graphic xmlns:a="http://schemas.openxmlformats.org/drawingml/2006/main">
                <a:graphicData uri="http://schemas.microsoft.com/office/word/2010/wordprocessingShape">
                  <wps:wsp>
                    <wps:cNvSpPr/>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Style w:val="Hyperlink.0"/>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wps:txbx>
                    <wps:bodyPr wrap="square" lIns="0" tIns="0" rIns="0" bIns="0" numCol="1" anchor="t">
                      <a:noAutofit/>
                    </wps:bodyPr>
                  </wps:wsp>
                </a:graphicData>
              </a:graphic>
            </wp:anchor>
          </w:drawing>
        </mc:Choice>
        <mc:Fallback>
          <w:pict>
            <v:rect id="_x0000_s1033"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Style w:val="Hyperlink.0"/>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v:textbox>
              <w10:wrap type="none" side="bothSides" anchorx="page" anchory="page"/>
            </v:rect>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31" name="officeArt object"/>
              <wp:cNvGraphicFramePr/>
              <a:graphic xmlns:a="http://schemas.openxmlformats.org/drawingml/2006/main">
                <a:graphicData uri="http://schemas.microsoft.com/office/word/2010/wordprocessingShape">
                  <wps:wsp>
                    <wps:cNvSpPr/>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wps:txbx>
                    <wps:bodyPr wrap="square" lIns="0" tIns="0" rIns="0" bIns="0" numCol="1" anchor="t">
                      <a:noAutofit/>
                    </wps:bodyPr>
                  </wps:wsp>
                </a:graphicData>
              </a:graphic>
            </wp:anchor>
          </w:drawing>
        </mc:Choice>
        <mc:Fallback>
          <w:pict>
            <v:rect id="_x0000_s1034"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v:textbox>
              <w10:wrap type="none" side="bothSides" anchorx="page" anchory="page"/>
            </v:rect>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32" name="officeArt object"/>
              <wp:cNvGraphicFramePr/>
              <a:graphic xmlns:a="http://schemas.openxmlformats.org/drawingml/2006/main">
                <a:graphicData uri="http://schemas.microsoft.com/office/word/2010/wordprocessingShape">
                  <wps:wsp>
                    <wps:cNvSpPr/>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rect id="_x0000_s1035"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rect>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33" name="officeArt object"/>
              <wp:cNvGraphicFramePr/>
              <a:graphic xmlns:a="http://schemas.openxmlformats.org/drawingml/2006/main">
                <a:graphicData uri="http://schemas.microsoft.com/office/word/2010/wordprocessingShape">
                  <wps:wsp>
                    <wps:cNvSpPr/>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wps:txbx>
                    <wps:bodyPr wrap="square" lIns="0" tIns="0" rIns="0" bIns="0" numCol="1" anchor="t">
                      <a:noAutofit/>
                    </wps:bodyPr>
                  </wps:wsp>
                </a:graphicData>
              </a:graphic>
            </wp:anchor>
          </w:drawing>
        </mc:Choice>
        <mc:Fallback>
          <w:pict>
            <v:rect id="_x0000_s1036"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v:textbox>
              <w10:wrap type="none" side="bothSides" anchorx="page" anchory="page"/>
            </v:rect>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34" name="officeArt object"/>
              <wp:cNvGraphicFramePr/>
              <a:graphic xmlns:a="http://schemas.openxmlformats.org/drawingml/2006/main">
                <a:graphicData uri="http://schemas.microsoft.com/office/word/2010/wordprocessingShape">
                  <wps:wsp>
                    <wps:cNvSpPr/>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wps:txbx>
                    <wps:bodyPr wrap="square" lIns="0" tIns="0" rIns="0" bIns="0" numCol="1" anchor="t">
                      <a:noAutofit/>
                    </wps:bodyPr>
                  </wps:wsp>
                </a:graphicData>
              </a:graphic>
            </wp:anchor>
          </w:drawing>
        </mc:Choice>
        <mc:Fallback>
          <w:pict>
            <v:rect id="_x0000_s1037"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v:textbox>
              <w10:wrap type="none" side="bothSides" anchorx="page" anchory="page"/>
            </v:rect>
          </w:pict>
        </mc:Fallback>
      </mc:AlternateContent>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35" name="officeArt object"/>
              <wp:cNvGraphicFramePr/>
              <a:graphic xmlns:a="http://schemas.openxmlformats.org/drawingml/2006/main">
                <a:graphicData uri="http://schemas.microsoft.com/office/word/2010/wordprocessingShape">
                  <wps:wsp>
                    <wps:cNvSpPr/>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Style w:val="Hyperlink.0"/>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wps:txbx>
                    <wps:bodyPr wrap="square" lIns="0" tIns="0" rIns="0" bIns="0" numCol="1" anchor="t">
                      <a:noAutofit/>
                    </wps:bodyPr>
                  </wps:wsp>
                </a:graphicData>
              </a:graphic>
            </wp:anchor>
          </w:drawing>
        </mc:Choice>
        <mc:Fallback>
          <w:pict>
            <v:rect id="_x0000_s1038"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Style w:val="Hyperlink.0"/>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v:textbox>
              <w10:wrap type="none" side="bothSides" anchorx="page" anchory="page"/>
            </v:rect>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36" name="officeArt object"/>
              <wp:cNvGraphicFramePr/>
              <a:graphic xmlns:a="http://schemas.openxmlformats.org/drawingml/2006/main">
                <a:graphicData uri="http://schemas.microsoft.com/office/word/2010/wordprocessingShape">
                  <wps:wsp>
                    <wps:cNvSpPr/>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wps:txbx>
                    <wps:bodyPr wrap="square" lIns="0" tIns="0" rIns="0" bIns="0" numCol="1" anchor="t">
                      <a:noAutofit/>
                    </wps:bodyPr>
                  </wps:wsp>
                </a:graphicData>
              </a:graphic>
            </wp:anchor>
          </w:drawing>
        </mc:Choice>
        <mc:Fallback>
          <w:pict>
            <v:rect id="_x0000_s1039"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v:textbox>
              <w10:wrap type="none" side="bothSides" anchorx="page" anchory="page"/>
            </v:rect>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37" name="officeArt object"/>
              <wp:cNvGraphicFramePr/>
              <a:graphic xmlns:a="http://schemas.openxmlformats.org/drawingml/2006/main">
                <a:graphicData uri="http://schemas.microsoft.com/office/word/2010/wordprocessingShape">
                  <wps:wsp>
                    <wps:cNvSpPr/>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rect id="_x0000_s1040"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rect>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38" name="officeArt object"/>
              <wp:cNvGraphicFramePr/>
              <a:graphic xmlns:a="http://schemas.openxmlformats.org/drawingml/2006/main">
                <a:graphicData uri="http://schemas.microsoft.com/office/word/2010/wordprocessingShape">
                  <wps:wsp>
                    <wps:cNvSpPr/>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wps:txbx>
                    <wps:bodyPr wrap="square" lIns="0" tIns="0" rIns="0" bIns="0" numCol="1" anchor="t">
                      <a:noAutofit/>
                    </wps:bodyPr>
                  </wps:wsp>
                </a:graphicData>
              </a:graphic>
            </wp:anchor>
          </w:drawing>
        </mc:Choice>
        <mc:Fallback>
          <w:pict>
            <v:rect id="_x0000_s1041"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v:textbox>
              <w10:wrap type="none" side="bothSides" anchorx="page" anchory="page"/>
            </v:rect>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39" name="officeArt object"/>
              <wp:cNvGraphicFramePr/>
              <a:graphic xmlns:a="http://schemas.openxmlformats.org/drawingml/2006/main">
                <a:graphicData uri="http://schemas.microsoft.com/office/word/2010/wordprocessingShape">
                  <wps:wsp>
                    <wps:cNvSpPr/>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wps:txbx>
                    <wps:bodyPr wrap="square" lIns="0" tIns="0" rIns="0" bIns="0" numCol="1" anchor="t">
                      <a:noAutofit/>
                    </wps:bodyPr>
                  </wps:wsp>
                </a:graphicData>
              </a:graphic>
            </wp:anchor>
          </w:drawing>
        </mc:Choice>
        <mc:Fallback>
          <w:pict>
            <v:rect id="_x0000_s104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v:textbox>
              <w10:wrap type="none" side="bothSides" anchorx="page" anchory="page"/>
            </v:rect>
          </w:pict>
        </mc:Fallback>
      </mc:AlternateConten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384"/>
        </w:tabs>
        <w:ind w:left="3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384"/>
        </w:tabs>
        <w:ind w:left="10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384"/>
        </w:tabs>
        <w:ind w:left="17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84"/>
        </w:tabs>
        <w:ind w:left="24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384"/>
        </w:tabs>
        <w:ind w:left="316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384"/>
        </w:tabs>
        <w:ind w:left="38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84"/>
        </w:tabs>
        <w:ind w:left="46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384"/>
        </w:tabs>
        <w:ind w:left="53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384"/>
        </w:tabs>
        <w:ind w:left="60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fr-FR"/>
    </w:rPr>
  </w:style>
  <w:style w:type="character" w:styleId="None">
    <w:name w:val="None"/>
  </w:style>
  <w:style w:type="character" w:styleId="Hyperlink.0">
    <w:name w:val="Hyperlink.0"/>
    <w:basedOn w:val="None"/>
    <w:next w:val="Hyperlink.0"/>
    <w:rPr>
      <w:rFonts w:ascii="Arial" w:cs="Arial" w:hAnsi="Arial" w:eastAsia="Arial"/>
      <w:color w:val="ffffff"/>
      <w:sz w:val="14"/>
      <w:szCs w:val="14"/>
      <w:u w:color="ffffff"/>
    </w:rPr>
  </w:style>
  <w:style w:type="paragraph" w:styleId="Heading">
    <w:name w:val="Heading"/>
    <w:next w:val="Heading"/>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image" Target="media/image1.jpeg"/><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