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media/image1.jpeg" ContentType="image/jpeg"/>
  <Override PartName="/word/header3.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eading"/>
        <w:spacing w:before="170"/>
        <w:ind w:left="0" w:firstLine="0"/>
      </w:pPr>
      <w:r>
        <w:rPr>
          <w:rStyle w:val="None"/>
          <w:color w:val="337ab7"/>
          <w:u w:color="337ab7"/>
          <w:rtl w:val="0"/>
          <w:lang w:val="en-US"/>
        </w:rPr>
        <w:t>Painful skin nodules in an immunocompromised patient</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Wedad Abdelrahman, MB BCh BAO MRCP (UK), Dermatology Specialist registrar, Northern Ireland, UK</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Andrea Corry, Consultant in Dermatology, Northern Ireland, UK</w:t>
      </w:r>
    </w:p>
    <w:p>
      <w:pPr>
        <w:pStyle w:val="Body Text"/>
        <w:rPr>
          <w:rFonts w:ascii="Arial" w:cs="Arial" w:hAnsi="Arial" w:eastAsia="Arial"/>
          <w:sz w:val="20"/>
          <w:szCs w:val="20"/>
        </w:rPr>
      </w:pPr>
    </w:p>
    <w:p>
      <w:pPr>
        <w:pStyle w:val="Body Text"/>
        <w:spacing w:before="3"/>
        <w:rPr>
          <w:rFonts w:ascii="Arial" w:cs="Arial" w:hAnsi="Arial" w:eastAsia="Arial"/>
          <w:sz w:val="21"/>
          <w:szCs w:val="21"/>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color w:val="bf5a14"/>
          <w:u w:color="bf5a14"/>
          <w:rtl w:val="0"/>
          <w:lang w:val="en-US"/>
        </w:rPr>
        <w:t>Abstract (300 word limit)</w:t>
      </w:r>
    </w:p>
    <w:p>
      <w:pPr>
        <w:pStyle w:val="Body Text"/>
        <w:spacing w:before="90" w:line="280" w:lineRule="auto"/>
        <w:ind w:left="100" w:firstLine="0"/>
        <w:jc w:val="both"/>
      </w:pPr>
      <w:r>
        <w:rPr>
          <w:rtl w:val="0"/>
          <w:lang w:val="en-US"/>
        </w:rPr>
        <w:t>A 72 year old gentleman with Type II Refractory Coeliac Disease requiring immunosuppression with prednisolone (since 2014) and MMF (since 2015)</w:t>
      </w:r>
      <w:r>
        <w:rPr>
          <w:rStyle w:val="None"/>
          <w:rtl w:val="0"/>
          <w:lang w:val="en-US"/>
        </w:rPr>
        <w:t xml:space="preserve"> </w:t>
      </w:r>
      <w:r>
        <w:rPr>
          <w:rtl w:val="0"/>
          <w:lang w:val="en-US"/>
        </w:rPr>
        <w:t xml:space="preserve">was referred with 1 week history of red hot tender subcutaneous nodules suggestive of panniculitis.  Initial skin biopsies showed heavy inflammatory infiltrate predominantly comprising neutrophils at interface between dermis and subcutaneous fat.  No granulomata identified.  Gram positive bacilli seen within subcutaneous tissue confirming bacterial panniculitis.  No specific organism was cultured after 5 days of enrichment.  Despite absence of </w:t>
      </w:r>
      <w:r>
        <w:rPr>
          <w:rStyle w:val="None"/>
          <w:rtl w:val="0"/>
          <w:lang w:val="en-US"/>
        </w:rPr>
        <w:t xml:space="preserve">systemic upset and negative </w:t>
      </w:r>
      <w:r>
        <w:rPr>
          <w:rtl w:val="0"/>
          <w:lang w:val="en-US"/>
        </w:rPr>
        <w:t>blood cultures, empirical treatment with Vancomycin, Ciprofloxacin and Ganciclovir (due to raising CMV titres) were commenced, with no improvement.  4 weeks later he developed painful pustules and ulcerated nodules on limbs with clinical evidence of sporotrichoid spread.  Histology of new lesions showed extensive inflammation extending into subcutaneous tissue with an impression of non-caseating granuloma; special stains failed to demonstrate organisms; CMV inclusions were not seen.  However, Z-N staining readily identified acid fast bacilli.  Another biopsy for 16s rDNA testing confirmed mycobacterium chelonae.  Prolonged culture at low temperatures allowed sensitivities to be identified.  With input from infectious diseases PO Clarithromycin, IV Meropenem, IV Tigecycline were commenced.  6 weeks later an improvement was noted with fewer new lesions developing.  Mycobacterium chelonae is a non-tuberculous rapidly growing mycobacterium commonly found in tap water and soil.  It can cause localized or disseminated infections.  Immunocompromised hosts are particularly at risk though often the portal of entry is unclear.  Clinical presentation is non-specific including draining sinuses, abscesses, ulcers and nodules</w:t>
      </w:r>
      <w:r>
        <w:rPr>
          <w:rStyle w:val="None"/>
          <w:vertAlign w:val="superscript"/>
          <w:rtl w:val="0"/>
          <w:lang w:val="en-US"/>
        </w:rPr>
        <w:t>2</w:t>
      </w:r>
      <w:r>
        <w:rPr>
          <w:rtl w:val="0"/>
          <w:lang w:val="en-US"/>
        </w:rPr>
        <w:t>.  Atypical mycobacteria are associated with extensive resistance to antimicrobial drugs.  It is generally recommended that a macrolide antibiotic such as Clarithromycin is used in combination with a quinolone such as Ciprofloxacin, and in cases where infection is progressive despite oral antibiotic therapy, the addition of parenteral antibiotics such as Tobramycin may be considered</w:t>
      </w:r>
      <w:r>
        <w:rPr>
          <w:rStyle w:val="None"/>
          <w:vertAlign w:val="superscript"/>
          <w:rtl w:val="0"/>
          <w:lang w:val="en-US"/>
        </w:rPr>
        <w:t>3</w:t>
      </w:r>
      <w:r>
        <w:rPr>
          <w:rtl w:val="0"/>
          <w:lang w:val="en-US"/>
        </w:rPr>
        <w:t>.</w:t>
      </w:r>
    </w:p>
    <w:p>
      <w:pPr>
        <w:pStyle w:val="Heading 3"/>
        <w:spacing w:before="74"/>
      </w:pPr>
      <w:r>
        <w:rPr>
          <w:rStyle w:val="None"/>
          <w:rFonts w:ascii="Arial Unicode MS" w:cs="Arial Unicode MS" w:hAnsi="Arial Unicode MS" w:eastAsia="Arial Unicode MS"/>
          <w:b w:val="0"/>
          <w:bCs w:val="0"/>
          <w:i w:val="0"/>
          <w:iCs w:val="0"/>
        </w:rPr>
        <w:br w:type="column"/>
      </w:r>
    </w:p>
    <w:p>
      <w:pPr>
        <w:pStyle w:val="Heading 3"/>
        <w:spacing w:before="74"/>
      </w:pPr>
    </w:p>
    <w:p>
      <w:pPr>
        <w:pStyle w:val="Body"/>
        <w:spacing w:line="204" w:lineRule="exact"/>
        <w:rPr>
          <w:rStyle w:val="None"/>
          <w:rFonts w:ascii="Arial" w:cs="Arial" w:hAnsi="Arial" w:eastAsia="Arial"/>
          <w:b w:val="1"/>
          <w:bCs w:val="1"/>
          <w:sz w:val="20"/>
          <w:szCs w:val="20"/>
        </w:rPr>
      </w:pPr>
      <w:r>
        <w:rPr>
          <w:rStyle w:val="None"/>
          <w:rFonts w:ascii="Arial Unicode MS" w:cs="Arial Unicode MS" w:hAnsi="Arial Unicode MS" w:eastAsia="Arial Unicode MS"/>
          <w:b w:val="0"/>
          <w:bCs w:val="0"/>
          <w:i w:val="0"/>
          <w:iCs w:val="0"/>
          <w:color w:val="bf5a14"/>
          <w:sz w:val="20"/>
          <w:szCs w:val="20"/>
          <w:u w:color="bf5a14"/>
        </w:rPr>
        <w:br w:type="textWrapping"/>
      </w:r>
      <w:r>
        <w:rPr>
          <w:rStyle w:val="None"/>
          <w:rFonts w:ascii="Arial" w:hAnsi="Arial"/>
          <w:b w:val="1"/>
          <w:bCs w:val="1"/>
          <w:color w:val="bf5a14"/>
          <w:sz w:val="20"/>
          <w:szCs w:val="20"/>
          <w:u w:color="bf5a14"/>
          <w:rtl w:val="0"/>
          <w:lang w:val="fr-FR"/>
        </w:rPr>
        <w:t>Recent Publications (minimum 5)</w:t>
      </w:r>
    </w:p>
    <w:p>
      <w:pPr>
        <w:pStyle w:val="List Paragraph"/>
        <w:widowControl w:val="1"/>
        <w:numPr>
          <w:ilvl w:val="0"/>
          <w:numId w:val="2"/>
        </w:numPr>
        <w:bidi w:val="0"/>
        <w:spacing w:before="0" w:after="120" w:line="240" w:lineRule="auto"/>
        <w:ind w:right="0"/>
        <w:jc w:val="both"/>
        <w:rPr>
          <w:rStyle w:val="None"/>
          <w:rFonts w:ascii="Tw Cen MT" w:cs="Tw Cen MT" w:hAnsi="Tw Cen MT" w:eastAsia="Tw Cen MT"/>
          <w:sz w:val="18"/>
          <w:szCs w:val="18"/>
          <w:u w:val="single"/>
          <w:rtl w:val="0"/>
          <w:lang w:val="en-US"/>
        </w:rPr>
      </w:pPr>
      <w:r>
        <w:rPr>
          <w:rFonts w:ascii="Tw Cen MT" w:hAnsi="Tw Cen MT"/>
          <w:sz w:val="18"/>
          <w:szCs w:val="18"/>
          <w:rtl w:val="0"/>
          <w:lang w:val="en-US"/>
        </w:rPr>
        <w:t>Campbell et al. Erythema induratum caused by mycobacterium chelonae in an immunocompetent patient. J Clin Aesthet Dermatol 2013; 6(5): 38-40</w:t>
      </w:r>
      <w:r>
        <w:rPr>
          <w:rFonts w:ascii="Tw Cen MT" w:hAnsi="Tw Cen MT"/>
          <w:sz w:val="18"/>
          <w:szCs w:val="18"/>
          <w:rtl w:val="0"/>
          <w:lang w:val="en-US"/>
        </w:rPr>
        <w:t>.</w:t>
      </w:r>
    </w:p>
    <w:p>
      <w:pPr>
        <w:pStyle w:val="List Paragraph"/>
        <w:widowControl w:val="1"/>
        <w:numPr>
          <w:ilvl w:val="0"/>
          <w:numId w:val="2"/>
        </w:numPr>
        <w:bidi w:val="0"/>
        <w:spacing w:before="0" w:after="120" w:line="240" w:lineRule="auto"/>
        <w:ind w:right="0"/>
        <w:jc w:val="both"/>
        <w:rPr>
          <w:rStyle w:val="None"/>
          <w:rFonts w:ascii="Tw Cen MT" w:cs="Tw Cen MT" w:hAnsi="Tw Cen MT" w:eastAsia="Tw Cen MT"/>
          <w:sz w:val="18"/>
          <w:szCs w:val="18"/>
          <w:u w:val="single"/>
          <w:rtl w:val="0"/>
          <w:lang w:val="en-US"/>
        </w:rPr>
      </w:pPr>
      <w:r>
        <w:rPr>
          <w:rFonts w:ascii="Tw Cen MT" w:hAnsi="Tw Cen MT"/>
          <w:sz w:val="18"/>
          <w:szCs w:val="18"/>
          <w:rtl w:val="0"/>
          <w:lang w:val="en-US"/>
        </w:rPr>
        <w:t>Escalonilla et al. Cutaneous manifestations of infection by nontuberculous mycobacteria. Clin Exp Dermatol 1998; 23: 214-221</w:t>
      </w:r>
      <w:r>
        <w:rPr>
          <w:rFonts w:ascii="Tw Cen MT" w:hAnsi="Tw Cen MT"/>
          <w:sz w:val="18"/>
          <w:szCs w:val="18"/>
          <w:rtl w:val="0"/>
          <w:lang w:val="en-US"/>
        </w:rPr>
        <w:t>.</w:t>
      </w:r>
    </w:p>
    <w:p>
      <w:pPr>
        <w:pStyle w:val="List Paragraph"/>
        <w:widowControl w:val="1"/>
        <w:numPr>
          <w:ilvl w:val="0"/>
          <w:numId w:val="3"/>
        </w:numPr>
        <w:bidi w:val="0"/>
        <w:spacing w:before="0" w:after="120" w:line="240" w:lineRule="auto"/>
        <w:ind w:right="0"/>
        <w:jc w:val="both"/>
        <w:rPr>
          <w:rFonts w:ascii="Tw Cen MT" w:cs="Tw Cen MT" w:hAnsi="Tw Cen MT" w:eastAsia="Tw Cen MT"/>
          <w:sz w:val="18"/>
          <w:szCs w:val="18"/>
          <w:rtl w:val="0"/>
          <w:lang w:val="en-US"/>
        </w:rPr>
      </w:pPr>
      <w:r>
        <w:rPr>
          <w:rStyle w:val="None"/>
          <w:rFonts w:ascii="Tw Cen MT" w:hAnsi="Tw Cen MT"/>
          <w:kern w:val="36"/>
          <w:sz w:val="18"/>
          <w:szCs w:val="18"/>
          <w:rtl w:val="0"/>
          <w:lang w:val="en-US"/>
        </w:rPr>
        <w:t xml:space="preserve">Roukens et al. Disseminated cutaneous mycobacterium chelonae infection in a patient with acute myeloid leukemia. Open forum infectious diseases </w:t>
      </w:r>
      <w:r>
        <w:rPr>
          <w:rFonts w:ascii="Tw Cen MT" w:hAnsi="Tw Cen MT"/>
          <w:sz w:val="18"/>
          <w:szCs w:val="18"/>
          <w:rtl w:val="0"/>
          <w:lang w:val="en-US"/>
        </w:rPr>
        <w:t>2014 Nov 26. doi:</w:t>
      </w:r>
      <w:r>
        <w:rPr>
          <w:rFonts w:ascii="Tw Cen MT" w:hAnsi="Tw Cen MT" w:hint="default"/>
          <w:sz w:val="18"/>
          <w:szCs w:val="18"/>
          <w:rtl w:val="0"/>
          <w:lang w:val="en-US"/>
        </w:rPr>
        <w:t xml:space="preserve">  </w:t>
      </w:r>
      <w:r>
        <w:rPr>
          <w:rFonts w:ascii="Tw Cen MT" w:cs="Tw Cen MT" w:hAnsi="Tw Cen MT" w:eastAsia="Tw Cen MT"/>
          <w:sz w:val="18"/>
          <w:szCs w:val="18"/>
        </w:rPr>
        <w:fldChar w:fldCharType="begin" w:fldLock="0"/>
      </w:r>
      <w:r>
        <w:rPr>
          <w:rFonts w:ascii="Tw Cen MT" w:cs="Tw Cen MT" w:hAnsi="Tw Cen MT" w:eastAsia="Tw Cen MT"/>
          <w:sz w:val="18"/>
          <w:szCs w:val="18"/>
        </w:rPr>
        <w:instrText xml:space="preserve"> HYPERLINK "http://dx.doi.org/10.1093%252Fofid%252Fofu103"</w:instrText>
      </w:r>
      <w:r>
        <w:rPr>
          <w:rFonts w:ascii="Tw Cen MT" w:cs="Tw Cen MT" w:hAnsi="Tw Cen MT" w:eastAsia="Tw Cen MT"/>
          <w:sz w:val="18"/>
          <w:szCs w:val="18"/>
        </w:rPr>
        <w:fldChar w:fldCharType="separate" w:fldLock="0"/>
      </w:r>
      <w:r>
        <w:rPr>
          <w:rFonts w:ascii="Tw Cen MT" w:hAnsi="Tw Cen MT"/>
          <w:sz w:val="18"/>
          <w:szCs w:val="18"/>
          <w:rtl w:val="0"/>
          <w:lang w:val="en-US"/>
        </w:rPr>
        <w:t>10.1093/ofid/ofu103</w:t>
      </w:r>
      <w:r>
        <w:rPr>
          <w:rFonts w:ascii="Tw Cen MT" w:cs="Tw Cen MT" w:hAnsi="Tw Cen MT" w:eastAsia="Tw Cen MT"/>
          <w:sz w:val="18"/>
          <w:szCs w:val="18"/>
        </w:rPr>
        <w:fldChar w:fldCharType="end" w:fldLock="0"/>
      </w:r>
      <w:r>
        <w:rPr>
          <w:rFonts w:ascii="Tw Cen MT" w:hAnsi="Tw Cen MT"/>
          <w:sz w:val="18"/>
          <w:szCs w:val="18"/>
          <w:rtl w:val="0"/>
          <w:lang w:val="en-US"/>
        </w:rPr>
        <w:t>.</w:t>
      </w:r>
    </w:p>
    <w:p>
      <w:pPr>
        <w:pStyle w:val="Body"/>
        <w:tabs>
          <w:tab w:val="left" w:pos="384"/>
        </w:tabs>
        <w:ind w:right="117"/>
      </w:pPr>
    </w:p>
    <w:p>
      <w:pPr>
        <w:pStyle w:val="Body"/>
        <w:spacing w:line="200" w:lineRule="exact"/>
        <w:jc w:val="both"/>
        <w:sectPr>
          <w:headerReference w:type="default" r:id="rId6"/>
          <w:footerReference w:type="default" r:id="rId7"/>
          <w:type w:val="continuous"/>
          <w:pgSz w:w="11920" w:h="16840" w:orient="portrait"/>
          <w:pgMar w:top="1740" w:right="600" w:bottom="840" w:left="620" w:header="541" w:footer="642"/>
          <w:cols w:num="2" w:equalWidth="0">
            <w:col w:w="5229" w:space="138"/>
            <w:col w:w="5353" w:space="0"/>
          </w:cols>
          <w:bidi w:val="0"/>
        </w:sectPr>
      </w:pPr>
      <w:r>
        <w:rPr>
          <w:rStyle w:val="None"/>
          <w:rFonts w:ascii="Calibri" w:cs="Calibri" w:hAnsi="Calibri" w:eastAsia="Calibri"/>
          <w:rtl w:val="0"/>
        </w:rPr>
        <w:t xml:space="preserve">   </w:t>
      </w:r>
    </w:p>
    <w:p>
      <w:pPr>
        <w:pStyle w:val="Body Text"/>
        <w:rPr>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wp:inline distT="0" distB="0" distL="0" distR="0">
                <wp:extent cx="3950335" cy="0"/>
                <wp:effectExtent l="0" t="0" r="0" b="0"/>
                <wp:docPr id="1073741840" name="officeArt object"/>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Style w:val="None"/>
          <w:rFonts w:ascii="Arial" w:cs="Arial" w:hAnsi="Arial" w:eastAsia="Arial"/>
        </w:rPr>
      </w:pPr>
      <w:r>
        <w:rPr>
          <w:rtl w:val="0"/>
        </w:rPr>
        <w:t xml:space="preserve">              </w:t>
      </w:r>
      <w:r>
        <w:drawing>
          <wp:inline distT="0" distB="0" distL="0" distR="0">
            <wp:extent cx="457200" cy="801886"/>
            <wp:effectExtent l="0" t="0" r="0" b="0"/>
            <wp:docPr id="1073741841" name="officeArt object" descr="Image result for wedad abdelrahman"/>
            <wp:cNvGraphicFramePr/>
            <a:graphic xmlns:a="http://schemas.openxmlformats.org/drawingml/2006/main">
              <a:graphicData uri="http://schemas.openxmlformats.org/drawingml/2006/picture">
                <pic:pic xmlns:pic="http://schemas.openxmlformats.org/drawingml/2006/picture">
                  <pic:nvPicPr>
                    <pic:cNvPr id="1073741841" name="image1.jpg" descr="Image result for wedad abdelrahman"/>
                    <pic:cNvPicPr>
                      <a:picLocks noChangeAspect="1"/>
                    </pic:cNvPicPr>
                  </pic:nvPicPr>
                  <pic:blipFill>
                    <a:blip r:embed="rId8">
                      <a:extLst/>
                    </a:blip>
                    <a:stretch>
                      <a:fillRect/>
                    </a:stretch>
                  </pic:blipFill>
                  <pic:spPr>
                    <a:xfrm>
                      <a:off x="0" y="0"/>
                      <a:ext cx="457200" cy="801886"/>
                    </a:xfrm>
                    <a:prstGeom prst="rect">
                      <a:avLst/>
                    </a:prstGeom>
                    <a:ln w="12700" cap="flat">
                      <a:noFill/>
                      <a:miter lim="400000"/>
                    </a:ln>
                    <a:effectLst/>
                  </pic:spPr>
                </pic:pic>
              </a:graphicData>
            </a:graphic>
          </wp:inline>
        </w:drawing>
      </w:r>
      <w:r>
        <w:rPr>
          <w:rStyle w:val="None"/>
          <w:rFonts w:ascii="Arial" w:hAnsi="Arial"/>
          <w:color w:val="bf5a14"/>
          <w:u w:color="bf5a14"/>
          <w:rtl w:val="0"/>
          <w:lang w:val="en-US"/>
        </w:rPr>
        <w:t>Biography (150 word limit)</w:t>
      </w:r>
    </w:p>
    <w:p>
      <w:pPr>
        <w:pStyle w:val="Body"/>
        <w:spacing w:before="41" w:line="154" w:lineRule="exact"/>
        <w:ind w:left="213" w:right="231" w:firstLine="0"/>
        <w:jc w:val="both"/>
        <w:rPr>
          <w:rStyle w:val="None"/>
          <w:rFonts w:ascii="Arial" w:cs="Arial" w:hAnsi="Arial" w:eastAsia="Arial"/>
          <w:sz w:val="14"/>
          <w:szCs w:val="14"/>
        </w:rPr>
      </w:pPr>
      <w:r>
        <w:rPr>
          <w:rStyle w:val="None"/>
          <w:rFonts w:ascii="Arial" w:hAnsi="Arial"/>
          <w:sz w:val="14"/>
          <w:szCs w:val="14"/>
          <w:rtl w:val="0"/>
          <w:lang w:val="es-ES_tradnl"/>
        </w:rPr>
        <w:t xml:space="preserve">Wedad Abdelrahman, graduated </w:t>
      </w:r>
      <w:r>
        <w:rPr>
          <w:rStyle w:val="None"/>
          <w:rFonts w:ascii="Arial" w:hAnsi="Arial"/>
          <w:sz w:val="14"/>
          <w:szCs w:val="14"/>
          <w:rtl w:val="0"/>
          <w:lang w:val="en-US"/>
        </w:rPr>
        <w:t xml:space="preserve">with Distinction </w:t>
      </w:r>
      <w:r>
        <w:rPr>
          <w:rStyle w:val="None"/>
          <w:rFonts w:ascii="Arial" w:hAnsi="Arial"/>
          <w:sz w:val="14"/>
          <w:szCs w:val="14"/>
          <w:rtl w:val="0"/>
          <w:lang w:val="en-US"/>
        </w:rPr>
        <w:t>from Queen</w:t>
      </w:r>
      <w:r>
        <w:rPr>
          <w:rStyle w:val="None"/>
          <w:rFonts w:ascii="Arial" w:hAnsi="Arial" w:hint="default"/>
          <w:sz w:val="14"/>
          <w:szCs w:val="14"/>
          <w:rtl w:val="0"/>
          <w:lang w:val="fr-FR"/>
        </w:rPr>
        <w:t>’</w:t>
      </w:r>
      <w:r>
        <w:rPr>
          <w:rStyle w:val="None"/>
          <w:rFonts w:ascii="Arial" w:hAnsi="Arial"/>
          <w:sz w:val="14"/>
          <w:szCs w:val="14"/>
          <w:rtl w:val="0"/>
          <w:lang w:val="en-US"/>
        </w:rPr>
        <w:t>s University of Belfast, Northern Ireland in 2010.  Dermatology specialist registrar training commenced in 2014 (Northern Ireland deanery).</w:t>
      </w:r>
    </w:p>
    <w:p>
      <w:pPr>
        <w:pStyle w:val="Body"/>
        <w:spacing w:before="41" w:line="154" w:lineRule="exact"/>
        <w:ind w:left="213" w:right="231" w:firstLine="0"/>
        <w:jc w:val="both"/>
        <w:rPr>
          <w:rStyle w:val="None"/>
          <w:rFonts w:ascii="Arial" w:cs="Arial" w:hAnsi="Arial" w:eastAsia="Arial"/>
          <w:sz w:val="14"/>
          <w:szCs w:val="14"/>
        </w:rPr>
      </w:pPr>
    </w:p>
    <w:p>
      <w:pPr>
        <w:pStyle w:val="Body"/>
        <w:spacing w:before="62"/>
        <w:ind w:left="4217" w:right="4235" w:firstLine="0"/>
        <w:jc w:val="center"/>
        <w:rPr>
          <w:rStyle w:val="None"/>
          <w:rFonts w:ascii="Arial" w:cs="Arial" w:hAnsi="Arial" w:eastAsia="Arial"/>
          <w:sz w:val="14"/>
          <w:szCs w:val="14"/>
        </w:rPr>
      </w:pPr>
      <w:r>
        <w:rPr>
          <w:rStyle w:val="None"/>
          <w:rFonts w:ascii="Arial" w:hAnsi="Arial"/>
          <w:sz w:val="14"/>
          <w:szCs w:val="14"/>
          <w:rtl w:val="0"/>
        </w:rPr>
        <w:t>Email</w:t>
      </w:r>
      <w:r>
        <w:rPr>
          <w:rStyle w:val="None"/>
          <w:rFonts w:ascii="Arial" w:hAnsi="Arial"/>
          <w:sz w:val="14"/>
          <w:szCs w:val="14"/>
          <w:rtl w:val="0"/>
          <w:lang w:val="en-US"/>
        </w:rPr>
        <w:t>: wedadabdelrahman@doctors.org.uk</w:t>
      </w:r>
    </w:p>
    <w:p>
      <w:pPr>
        <w:pStyle w:val="Body Text"/>
        <w:spacing w:before="2"/>
        <w:rPr>
          <w:rStyle w:val="None"/>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42" name="officeArt object"/>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Fonts w:ascii="Arial" w:cs="Arial" w:hAnsi="Arial" w:eastAsia="Arial"/>
          <w:sz w:val="20"/>
          <w:szCs w:val="20"/>
        </w:rPr>
      </w:pPr>
    </w:p>
    <w:p>
      <w:pPr>
        <w:pStyle w:val="Body Text"/>
        <w:rPr>
          <w:rFonts w:ascii="Arial" w:cs="Arial" w:hAnsi="Arial" w:eastAsia="Arial"/>
          <w:sz w:val="20"/>
          <w:szCs w:val="20"/>
        </w:rPr>
      </w:pPr>
    </w:p>
    <w:p>
      <w:pPr>
        <w:pStyle w:val="Body Text"/>
        <w:spacing w:before="7"/>
        <w:rPr>
          <w:rFonts w:ascii="Arial" w:cs="Arial" w:hAnsi="Arial" w:eastAsia="Arial"/>
          <w:sz w:val="29"/>
          <w:szCs w:val="29"/>
        </w:rPr>
      </w:pPr>
    </w:p>
    <w:p>
      <w:pPr>
        <w:pStyle w:val="Body"/>
        <w:spacing w:before="39"/>
        <w:ind w:left="100" w:firstLine="0"/>
      </w:pPr>
      <w:r>
        <w:rPr>
          <w:rStyle w:val="None"/>
          <w:rFonts w:ascii="Minion Pro" w:cs="Minion Pro" w:hAnsi="Minion Pro" w:eastAsia="Minion Pro"/>
          <w:b w:val="1"/>
          <w:bCs w:val="1"/>
          <w:sz w:val="20"/>
          <w:szCs w:val="20"/>
          <w:rtl w:val="0"/>
        </w:rPr>
        <w:t>Notes/Comments:</w:t>
      </w:r>
    </w:p>
    <w:sectPr>
      <w:headerReference w:type="default" r:id="rId9"/>
      <w:footerReference w:type="default" r:id="rId10"/>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color w:val="ffffff"/>
                              <w:sz w:val="14"/>
                              <w:szCs w:val="14"/>
                              <w:u w:color="ffffff"/>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wps:txbx>
                    <wps:bodyPr wrap="square" lIns="0" tIns="0" rIns="0" bIns="0" numCol="1" anchor="t">
                      <a:noAutofit/>
                    </wps:bodyPr>
                  </wps:wsp>
                </a:graphicData>
              </a:graphic>
            </wp:anchor>
          </w:drawing>
        </mc:Choice>
        <mc:Fallback>
          <w:pict>
            <v:rect id="_x0000_s1028"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color w:val="ffffff"/>
                        <w:sz w:val="14"/>
                        <w:szCs w:val="14"/>
                        <w:u w:color="ffffff"/>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wps:txbx>
                    <wps:bodyPr wrap="square" lIns="0" tIns="0" rIns="0" bIns="0" numCol="1" anchor="t">
                      <a:noAutofit/>
                    </wps:bodyPr>
                  </wps:wsp>
                </a:graphicData>
              </a:graphic>
            </wp:anchor>
          </w:drawing>
        </mc:Choice>
        <mc:Fallback>
          <w:pict>
            <v:rect id="_x0000_s1029"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30"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wps:txbx>
                    <wps:bodyPr wrap="square" lIns="0" tIns="0" rIns="0" bIns="0" numCol="1" anchor="t">
                      <a:noAutofit/>
                    </wps:bodyPr>
                  </wps:wsp>
                </a:graphicData>
              </a:graphic>
            </wp:anchor>
          </w:drawing>
        </mc:Choice>
        <mc:Fallback>
          <w:pict>
            <v:rect id="_x0000_s1031"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wps:txbx>
                    <wps:bodyPr wrap="square" lIns="0" tIns="0" rIns="0" bIns="0" numCol="1" anchor="t">
                      <a:noAutofit/>
                    </wps:bodyPr>
                  </wps:wsp>
                </a:graphicData>
              </a:graphic>
            </wp:anchor>
          </w:drawing>
        </mc:Choice>
        <mc:Fallback>
          <w:pict>
            <v:rect id="_x0000_s103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v:textbox>
              <w10:wrap type="none" side="bothSides" anchorx="page" anchory="page"/>
            </v:rect>
          </w:pict>
        </mc:Fallback>
      </mc:AlternateConten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Style w:val="Hyperlink.0"/>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wps:txbx>
                    <wps:bodyPr wrap="square" lIns="0" tIns="0" rIns="0" bIns="0" numCol="1" anchor="t">
                      <a:noAutofit/>
                    </wps:bodyPr>
                  </wps:wsp>
                </a:graphicData>
              </a:graphic>
            </wp:anchor>
          </w:drawing>
        </mc:Choice>
        <mc:Fallback>
          <w:pict>
            <v:rect id="_x0000_s1033"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Style w:val="Hyperlink.0"/>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31"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wps:txbx>
                    <wps:bodyPr wrap="square" lIns="0" tIns="0" rIns="0" bIns="0" numCol="1" anchor="t">
                      <a:noAutofit/>
                    </wps:bodyPr>
                  </wps:wsp>
                </a:graphicData>
              </a:graphic>
            </wp:anchor>
          </w:drawing>
        </mc:Choice>
        <mc:Fallback>
          <w:pict>
            <v:rect id="_x0000_s1034"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32"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35"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33"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wps:txbx>
                    <wps:bodyPr wrap="square" lIns="0" tIns="0" rIns="0" bIns="0" numCol="1" anchor="t">
                      <a:noAutofit/>
                    </wps:bodyPr>
                  </wps:wsp>
                </a:graphicData>
              </a:graphic>
            </wp:anchor>
          </w:drawing>
        </mc:Choice>
        <mc:Fallback>
          <w:pict>
            <v:rect id="_x0000_s1036"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34"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wps:txbx>
                    <wps:bodyPr wrap="square" lIns="0" tIns="0" rIns="0" bIns="0" numCol="1" anchor="t">
                      <a:noAutofit/>
                    </wps:bodyPr>
                  </wps:wsp>
                </a:graphicData>
              </a:graphic>
            </wp:anchor>
          </w:drawing>
        </mc:Choice>
        <mc:Fallback>
          <w:pict>
            <v:rect id="_x0000_s1037"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v:textbox>
              <w10:wrap type="none" side="bothSides" anchorx="page" anchory="page"/>
            </v:rect>
          </w:pict>
        </mc:Fallback>
      </mc:AlternateConten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35" name="officeArt object"/>
              <wp:cNvGraphicFramePr/>
              <a:graphic xmlns:a="http://schemas.openxmlformats.org/drawingml/2006/main">
                <a:graphicData uri="http://schemas.microsoft.com/office/word/2010/wordprocessingShape">
                  <wps:wsp>
                    <wps:cNvSpPr/>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Style w:val="Hyperlink.0"/>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wps:txbx>
                    <wps:bodyPr wrap="square" lIns="0" tIns="0" rIns="0" bIns="0" numCol="1" anchor="t">
                      <a:noAutofit/>
                    </wps:bodyPr>
                  </wps:wsp>
                </a:graphicData>
              </a:graphic>
            </wp:anchor>
          </w:drawing>
        </mc:Choice>
        <mc:Fallback>
          <w:pict>
            <v:rect id="_x0000_s1038"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Style w:val="Hyperlink.0"/>
                        <w:rtl w:val="0"/>
                        <w:lang w:val="fr-FR"/>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rPr>
                      <w:t>http://dx.doi.org/10.4172/2167-0846.C1.006</w:t>
                    </w:r>
                    <w:r>
                      <w:rPr/>
                      <w:fldChar w:fldCharType="end" w:fldLock="0"/>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36"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wps:txbx>
                    <wps:bodyPr wrap="square" lIns="0" tIns="0" rIns="0" bIns="0" numCol="1" anchor="t">
                      <a:noAutofit/>
                    </wps:bodyPr>
                  </wps:wsp>
                </a:graphicData>
              </a:graphic>
            </wp:anchor>
          </w:drawing>
        </mc:Choice>
        <mc:Fallback>
          <w:pict>
            <v:rect id="_x0000_s1039"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fr-FR"/>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37"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40"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de-DE"/>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38"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wps:txbx>
                    <wps:bodyPr wrap="square" lIns="0" tIns="0" rIns="0" bIns="0" numCol="1" anchor="t">
                      <a:noAutofit/>
                    </wps:bodyPr>
                  </wps:wsp>
                </a:graphicData>
              </a:graphic>
            </wp:anchor>
          </w:drawing>
        </mc:Choice>
        <mc:Fallback>
          <w:pict>
            <v:rect id="_x0000_s1041"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fr-FR"/>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39"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wps:txbx>
                    <wps:bodyPr wrap="square" lIns="0" tIns="0" rIns="0" bIns="0" numCol="1" anchor="t">
                      <a:noAutofit/>
                    </wps:bodyPr>
                  </wps:wsp>
                </a:graphicData>
              </a:graphic>
            </wp:anchor>
          </w:drawing>
        </mc:Choice>
        <mc:Fallback>
          <w:pict>
            <v:rect id="_x0000_s104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rPr>
                      <w:t>Page 40</w:t>
                    </w:r>
                  </w:p>
                </w:txbxContent>
              </v:textbox>
              <w10:wrap type="none" side="bothSides" anchorx="page" anchory="page"/>
            </v:rect>
          </w:pict>
        </mc:Fallback>
      </mc:AlternateConten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398" w:hanging="32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27" w:hanging="2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38" w:hanging="32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558" w:hanging="32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287" w:hanging="2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998" w:hanging="32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18" w:hanging="32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47" w:hanging="24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398" w:hanging="3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27" w:hanging="2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38" w:hanging="3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558" w:hanging="3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287" w:hanging="2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998" w:hanging="3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18" w:hanging="3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47" w:hanging="23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fr-FR"/>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character" w:styleId="Hyperlink.1">
    <w:name w:val="Hyperlink.1"/>
    <w:basedOn w:val="Hyperlink"/>
    <w:next w:val="Hyperlink.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image" Target="media/image1.jpeg"/><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