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49B" w:rsidRPr="001D349B" w:rsidRDefault="001D349B" w:rsidP="001D349B">
      <w:pPr>
        <w:jc w:val="center"/>
        <w:rPr>
          <w:b/>
          <w:bCs/>
          <w:sz w:val="28"/>
          <w:szCs w:val="28"/>
        </w:rPr>
      </w:pPr>
      <w:r w:rsidRPr="001D349B">
        <w:rPr>
          <w:b/>
          <w:bCs/>
          <w:sz w:val="28"/>
          <w:szCs w:val="28"/>
        </w:rPr>
        <w:t>Characteristics of Anaphylactic Cases Presenting to a Day-Care Medical Center in Qatar</w:t>
      </w:r>
    </w:p>
    <w:p w:rsidR="001D349B" w:rsidRDefault="001D349B" w:rsidP="001D349B">
      <w:pPr>
        <w:jc w:val="both"/>
      </w:pPr>
    </w:p>
    <w:p w:rsidR="001D349B" w:rsidRDefault="001D349B" w:rsidP="001D349B">
      <w:pPr>
        <w:jc w:val="center"/>
      </w:pPr>
      <w:r w:rsidRPr="001D349B">
        <w:rPr>
          <w:b/>
          <w:bCs/>
          <w:u w:val="single"/>
          <w:vertAlign w:val="superscript"/>
        </w:rPr>
        <w:t>1, 2</w:t>
      </w:r>
      <w:r w:rsidRPr="001D349B">
        <w:rPr>
          <w:b/>
          <w:bCs/>
          <w:u w:val="single"/>
        </w:rPr>
        <w:t>Enas Attia</w:t>
      </w:r>
      <w:r>
        <w:t xml:space="preserve">, MD, </w:t>
      </w:r>
      <w:r w:rsidRPr="001D349B">
        <w:rPr>
          <w:vertAlign w:val="superscript"/>
        </w:rPr>
        <w:t>3</w:t>
      </w:r>
      <w:r>
        <w:t xml:space="preserve">Ahmed Abdelmotelb, MD, PhD, </w:t>
      </w:r>
      <w:r w:rsidRPr="001D349B">
        <w:rPr>
          <w:vertAlign w:val="superscript"/>
        </w:rPr>
        <w:t>4</w:t>
      </w:r>
      <w:r>
        <w:t xml:space="preserve">Sayed Goda, PhD, </w:t>
      </w:r>
      <w:r w:rsidRPr="001D349B">
        <w:rPr>
          <w:vertAlign w:val="superscript"/>
        </w:rPr>
        <w:t>3</w:t>
      </w:r>
      <w:r>
        <w:t>Andrew F Walls, PhD</w:t>
      </w:r>
    </w:p>
    <w:p w:rsidR="001D349B" w:rsidRDefault="001D349B" w:rsidP="001D349B">
      <w:pPr>
        <w:jc w:val="center"/>
      </w:pPr>
    </w:p>
    <w:p w:rsidR="001D349B" w:rsidRDefault="001D349B" w:rsidP="001D349B">
      <w:pPr>
        <w:jc w:val="center"/>
      </w:pPr>
    </w:p>
    <w:p w:rsidR="001D349B" w:rsidRDefault="001D349B" w:rsidP="001D349B">
      <w:pPr>
        <w:jc w:val="center"/>
      </w:pPr>
      <w:r w:rsidRPr="001D349B">
        <w:rPr>
          <w:vertAlign w:val="superscript"/>
        </w:rPr>
        <w:t>1</w:t>
      </w:r>
      <w:r>
        <w:t xml:space="preserve">Queen Medical Center, Doha 1418, Qatar, </w:t>
      </w:r>
      <w:r w:rsidRPr="001D349B">
        <w:rPr>
          <w:vertAlign w:val="superscript"/>
        </w:rPr>
        <w:t>2</w:t>
      </w:r>
      <w:r>
        <w:t xml:space="preserve">Faculty of Medicine, </w:t>
      </w:r>
      <w:proofErr w:type="spellStart"/>
      <w:r>
        <w:t>Ain</w:t>
      </w:r>
      <w:proofErr w:type="spellEnd"/>
      <w:r>
        <w:t xml:space="preserve"> Shams University, Cairo, </w:t>
      </w:r>
      <w:r w:rsidRPr="001D349B">
        <w:rPr>
          <w:vertAlign w:val="superscript"/>
        </w:rPr>
        <w:t>3</w:t>
      </w:r>
      <w:r>
        <w:t xml:space="preserve">Faculty of Medicine, University of Southampton, UK, </w:t>
      </w:r>
      <w:r w:rsidRPr="001D349B">
        <w:rPr>
          <w:vertAlign w:val="superscript"/>
        </w:rPr>
        <w:t>4</w:t>
      </w:r>
      <w:r>
        <w:t>Anti-Doping Laboratory, Doha, Qatar</w:t>
      </w:r>
    </w:p>
    <w:p w:rsidR="001D349B" w:rsidRDefault="001D349B" w:rsidP="001D349B">
      <w:pPr>
        <w:jc w:val="center"/>
      </w:pPr>
    </w:p>
    <w:p w:rsidR="001D349B" w:rsidRDefault="001D349B" w:rsidP="001D349B">
      <w:pPr>
        <w:jc w:val="both"/>
      </w:pPr>
    </w:p>
    <w:p w:rsidR="001D349B" w:rsidRDefault="001D349B" w:rsidP="001D349B">
      <w:pPr>
        <w:jc w:val="both"/>
      </w:pPr>
      <w:r>
        <w:t xml:space="preserve">Anaphylaxis is a potentially life-threatening condition. We have aimed to characterize clinical profiles and triggers in patients with anaphylaxis who presented at the Queen Medical Center, Doha, </w:t>
      </w:r>
      <w:proofErr w:type="gramStart"/>
      <w:r>
        <w:t>between December 2014 to May 2016</w:t>
      </w:r>
      <w:proofErr w:type="gramEnd"/>
      <w:r>
        <w:t xml:space="preserve">. Thirty-eight patients (14 males and 24 females) </w:t>
      </w:r>
      <w:proofErr w:type="gramStart"/>
      <w:r>
        <w:t>were evaluated</w:t>
      </w:r>
      <w:proofErr w:type="gramEnd"/>
      <w:r>
        <w:t xml:space="preserve"> including four children. Among the patients, 10 (26.3%) were Qatari and 28 (73.7%) were non-Qatari [17 (44.7%) Arabs, 7 (18.4%) Caucasians, and 4 (10.5%) </w:t>
      </w:r>
      <w:proofErr w:type="gramStart"/>
      <w:r>
        <w:t>Asians].</w:t>
      </w:r>
      <w:proofErr w:type="gramEnd"/>
      <w:r>
        <w:t xml:space="preserve"> Drugs, were the causative agents in 18 (47.4%) of cases, foods in 11(28.9%), insect stings in </w:t>
      </w:r>
      <w:proofErr w:type="gramStart"/>
      <w:r>
        <w:t>7</w:t>
      </w:r>
      <w:proofErr w:type="gramEnd"/>
      <w:r>
        <w:t xml:space="preserve"> (18.4%) and 2 (5.3%) were of unknown </w:t>
      </w:r>
      <w:proofErr w:type="spellStart"/>
      <w:r>
        <w:t>aetiology</w:t>
      </w:r>
      <w:proofErr w:type="spellEnd"/>
      <w:r>
        <w:t xml:space="preserve">. The sites of clinical manifestations in order of frequency were </w:t>
      </w:r>
      <w:proofErr w:type="spellStart"/>
      <w:r>
        <w:t>cutaneous</w:t>
      </w:r>
      <w:proofErr w:type="spellEnd"/>
      <w:r>
        <w:t xml:space="preserve"> in 37 cases (97.4%), respiratory in 31 (81.6%), cardiovascular in 26 (68.4%), and gastrointestinal in 17 (44.7%). Among all reactions, </w:t>
      </w:r>
      <w:proofErr w:type="gramStart"/>
      <w:r>
        <w:t>5</w:t>
      </w:r>
      <w:proofErr w:type="gramEnd"/>
      <w:r>
        <w:t xml:space="preserve"> (13.2%) were fatal and 16 (42.1%) were life-threatening. The fatal reactions were in response to injection of drugs (</w:t>
      </w:r>
      <w:proofErr w:type="spellStart"/>
      <w:r>
        <w:t>pethidine</w:t>
      </w:r>
      <w:proofErr w:type="spellEnd"/>
      <w:r>
        <w:t xml:space="preserve">, </w:t>
      </w:r>
      <w:proofErr w:type="spellStart"/>
      <w:r>
        <w:t>morphia</w:t>
      </w:r>
      <w:proofErr w:type="spellEnd"/>
      <w:r>
        <w:t xml:space="preserve">, </w:t>
      </w:r>
      <w:proofErr w:type="spellStart"/>
      <w:r>
        <w:t>lidocaine</w:t>
      </w:r>
      <w:proofErr w:type="spellEnd"/>
      <w:r>
        <w:t xml:space="preserve">, and iron infusion), but unknown </w:t>
      </w:r>
      <w:proofErr w:type="spellStart"/>
      <w:r>
        <w:t>aetiology</w:t>
      </w:r>
      <w:proofErr w:type="spellEnd"/>
      <w:r>
        <w:t xml:space="preserve"> in one case. NSAIDs, iron infusion and </w:t>
      </w:r>
      <w:proofErr w:type="spellStart"/>
      <w:r>
        <w:t>seafoods</w:t>
      </w:r>
      <w:proofErr w:type="spellEnd"/>
      <w:r>
        <w:t xml:space="preserve"> were the most common triggers of severe reactions (3 of each). Of the 38 patients, 22 (57.9%) reported other co-existing allergic diseases, with </w:t>
      </w:r>
      <w:proofErr w:type="spellStart"/>
      <w:r>
        <w:t>rhinoconjunctivitis</w:t>
      </w:r>
      <w:proofErr w:type="spellEnd"/>
      <w:r>
        <w:t xml:space="preserve"> the most common (11; 28.9% patients).  Our findings implicate drugs as the major triggers of fatal and severe anaphylaxis in our patients,</w:t>
      </w:r>
      <w:r>
        <w:t xml:space="preserve"> followed by seafood</w:t>
      </w:r>
      <w:r>
        <w:t>. Our findings highlight the importance of anaphylaxis in Qatar, and indicate the range of triggers for this serious condition.</w:t>
      </w:r>
    </w:p>
    <w:p w:rsidR="001D349B" w:rsidRDefault="001D349B" w:rsidP="001D349B">
      <w:pPr>
        <w:jc w:val="both"/>
      </w:pPr>
    </w:p>
    <w:p w:rsidR="001D349B" w:rsidRDefault="001D349B" w:rsidP="001D349B">
      <w:pPr>
        <w:jc w:val="both"/>
      </w:pPr>
    </w:p>
    <w:p w:rsidR="001D349B" w:rsidRDefault="001D349B" w:rsidP="001D349B">
      <w:pPr>
        <w:jc w:val="both"/>
      </w:pPr>
      <w:proofErr w:type="gramStart"/>
      <w:r w:rsidRPr="001D349B">
        <w:rPr>
          <w:b/>
          <w:bCs/>
        </w:rPr>
        <w:t>Funding Information:</w:t>
      </w:r>
      <w:r>
        <w:t xml:space="preserve"> Qatar National Research Fund, NPRP 6 - 724 - 3 - 183, supported this work.</w:t>
      </w:r>
      <w:proofErr w:type="gramEnd"/>
    </w:p>
    <w:p w:rsidR="001D349B" w:rsidRDefault="001D349B" w:rsidP="001D349B">
      <w:pPr>
        <w:jc w:val="both"/>
      </w:pPr>
    </w:p>
    <w:p w:rsidR="001D349B" w:rsidRDefault="001D349B" w:rsidP="001D349B">
      <w:pPr>
        <w:jc w:val="both"/>
      </w:pPr>
    </w:p>
    <w:p w:rsidR="001D349B" w:rsidRPr="001D349B" w:rsidRDefault="001D349B" w:rsidP="001D349B">
      <w:pPr>
        <w:jc w:val="both"/>
        <w:rPr>
          <w:b/>
          <w:bCs/>
        </w:rPr>
      </w:pPr>
      <w:r w:rsidRPr="001D349B">
        <w:rPr>
          <w:b/>
          <w:bCs/>
        </w:rPr>
        <w:t>Biography</w:t>
      </w:r>
    </w:p>
    <w:p w:rsidR="001D349B" w:rsidRDefault="001D349B" w:rsidP="001D349B">
      <w:pPr>
        <w:jc w:val="both"/>
      </w:pPr>
    </w:p>
    <w:p w:rsidR="007D233A" w:rsidRPr="00B03DB8" w:rsidRDefault="001D349B" w:rsidP="001D349B">
      <w:pPr>
        <w:jc w:val="both"/>
      </w:pPr>
      <w:r w:rsidRPr="001D349B">
        <w:rPr>
          <w:b/>
          <w:bCs/>
        </w:rPr>
        <w:t>Dr. Enas Attia</w:t>
      </w:r>
      <w:r>
        <w:t xml:space="preserve"> completed her MD. </w:t>
      </w:r>
      <w:proofErr w:type="gramStart"/>
      <w:r>
        <w:t>in</w:t>
      </w:r>
      <w:proofErr w:type="gramEnd"/>
      <w:r>
        <w:t xml:space="preserve"> Dermatology and </w:t>
      </w:r>
      <w:proofErr w:type="spellStart"/>
      <w:r>
        <w:t>Venereology</w:t>
      </w:r>
      <w:proofErr w:type="spellEnd"/>
      <w:r>
        <w:t xml:space="preserve"> in 2006 in the Faculty of Medicine, </w:t>
      </w:r>
      <w:proofErr w:type="spellStart"/>
      <w:r>
        <w:t>Ain</w:t>
      </w:r>
      <w:proofErr w:type="spellEnd"/>
      <w:r>
        <w:t xml:space="preserve"> Shams University in Cairo. She is currently, Dermatology Consultant and Head of Dermatology Department, Queen Medical, Qatar, and Associate Professor of Dermatology, </w:t>
      </w:r>
      <w:proofErr w:type="spellStart"/>
      <w:r>
        <w:t>Venereology</w:t>
      </w:r>
      <w:proofErr w:type="spellEnd"/>
      <w:r>
        <w:t xml:space="preserve"> and </w:t>
      </w:r>
      <w:proofErr w:type="spellStart"/>
      <w:r>
        <w:t>Andrology</w:t>
      </w:r>
      <w:proofErr w:type="spellEnd"/>
      <w:r>
        <w:t xml:space="preserve">, Faculty of Medicine, </w:t>
      </w:r>
      <w:proofErr w:type="spellStart"/>
      <w:r>
        <w:t>Ain</w:t>
      </w:r>
      <w:proofErr w:type="spellEnd"/>
      <w:r>
        <w:t xml:space="preserve"> Shams University, Egypt. She has published more than 30 papers in reputed journals and has been serving as a reviewer and an editorial board member of repute.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034DD04" w15:done="0"/>
  <w15:commentEx w15:paraId="470FA79D" w15:done="0"/>
  <w15:commentEx w15:paraId="3E9DFE9D" w15:paraIdParent="470FA79D" w15:done="0"/>
  <w15:commentEx w15:paraId="4E3D98F0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alls A.F.">
    <w15:presenceInfo w15:providerId="AD" w15:userId="S-1-5-21-2015846570-11164191-355810188-526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2392A"/>
    <w:rsid w:val="000567BE"/>
    <w:rsid w:val="00074C9C"/>
    <w:rsid w:val="000909EE"/>
    <w:rsid w:val="000D6718"/>
    <w:rsid w:val="001522A9"/>
    <w:rsid w:val="001612DE"/>
    <w:rsid w:val="00185B34"/>
    <w:rsid w:val="001B06AE"/>
    <w:rsid w:val="001D349B"/>
    <w:rsid w:val="00265E72"/>
    <w:rsid w:val="002721BF"/>
    <w:rsid w:val="002C359D"/>
    <w:rsid w:val="002C3D9B"/>
    <w:rsid w:val="002C7AF8"/>
    <w:rsid w:val="0030553F"/>
    <w:rsid w:val="0031455A"/>
    <w:rsid w:val="00363668"/>
    <w:rsid w:val="00383E51"/>
    <w:rsid w:val="00384441"/>
    <w:rsid w:val="003A3C5A"/>
    <w:rsid w:val="003D07F1"/>
    <w:rsid w:val="00437503"/>
    <w:rsid w:val="00441F91"/>
    <w:rsid w:val="004E62DD"/>
    <w:rsid w:val="004E6844"/>
    <w:rsid w:val="004F0441"/>
    <w:rsid w:val="00522466"/>
    <w:rsid w:val="005808CB"/>
    <w:rsid w:val="005B4B32"/>
    <w:rsid w:val="00654259"/>
    <w:rsid w:val="006811FA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55DBF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BB3C9E"/>
    <w:rsid w:val="00BD417B"/>
    <w:rsid w:val="00C07C5B"/>
    <w:rsid w:val="00C578FF"/>
    <w:rsid w:val="00C828BF"/>
    <w:rsid w:val="00CE6677"/>
    <w:rsid w:val="00D605F8"/>
    <w:rsid w:val="00D734FE"/>
    <w:rsid w:val="00D841B1"/>
    <w:rsid w:val="00DC1388"/>
    <w:rsid w:val="00DC433A"/>
    <w:rsid w:val="00DD0CA3"/>
    <w:rsid w:val="00E13675"/>
    <w:rsid w:val="00E356F6"/>
    <w:rsid w:val="00E63452"/>
    <w:rsid w:val="00ED2B89"/>
    <w:rsid w:val="00EF038D"/>
    <w:rsid w:val="00F0648E"/>
    <w:rsid w:val="00F147F8"/>
    <w:rsid w:val="00F72B32"/>
    <w:rsid w:val="00F848FD"/>
    <w:rsid w:val="00F86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72B3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36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6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675"/>
    <w:rPr>
      <w:rFonts w:ascii="Times New Roman" w:eastAsia="Batang" w:hAnsi="Times New Roman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6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675"/>
    <w:rPr>
      <w:rFonts w:ascii="Times New Roman" w:eastAsia="Batang" w:hAnsi="Times New Roman"/>
      <w:b/>
      <w:bCs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eattia</cp:lastModifiedBy>
  <cp:revision>2</cp:revision>
  <dcterms:created xsi:type="dcterms:W3CDTF">2016-06-08T18:27:00Z</dcterms:created>
  <dcterms:modified xsi:type="dcterms:W3CDTF">2016-06-08T18:27:00Z</dcterms:modified>
</cp:coreProperties>
</file>