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40AFA" w14:textId="7E26F1DE" w:rsidR="00437053" w:rsidRPr="00793554" w:rsidRDefault="00437053" w:rsidP="00FC50A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83241061"/>
      <w:bookmarkStart w:id="1" w:name="_Hlk83244195"/>
      <w:bookmarkEnd w:id="1"/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Clinical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evaluation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of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air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polishing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with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erythritol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powder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followed by ultrasonic calculus removal versus conventional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ultrasonic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debridement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and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r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ubber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cup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polishing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for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the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t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reatment of gingivitis: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A split-mouth randomized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controlled</w:t>
      </w:r>
      <w:r w:rsidR="00FC50A1"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 xml:space="preserve"> </w:t>
      </w:r>
      <w:r w:rsidRPr="00793554">
        <w:rPr>
          <w:rFonts w:asciiTheme="minorHAnsi" w:hAnsiTheme="minorHAnsi" w:cstheme="minorHAnsi"/>
          <w:b/>
          <w:bCs/>
          <w:color w:val="242021"/>
          <w:sz w:val="28"/>
          <w:szCs w:val="28"/>
        </w:rPr>
        <w:t>clinical trial</w:t>
      </w:r>
    </w:p>
    <w:p w14:paraId="03C1E8AD" w14:textId="77777777" w:rsidR="00437053" w:rsidRPr="00920D06" w:rsidRDefault="00437053" w:rsidP="00920D0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DD0310" w14:textId="77777777" w:rsidR="00437053" w:rsidRPr="00920D06" w:rsidRDefault="00437053" w:rsidP="00920D0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CB41F7A" w14:textId="7AC05BEC" w:rsidR="00920D06" w:rsidRPr="00920D06" w:rsidRDefault="00343B89" w:rsidP="00920D0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0D06">
        <w:rPr>
          <w:rFonts w:asciiTheme="minorHAnsi" w:hAnsiTheme="minorHAnsi" w:cstheme="minorHAnsi"/>
          <w:b/>
          <w:bCs/>
          <w:sz w:val="22"/>
          <w:szCs w:val="22"/>
        </w:rPr>
        <w:t>Magda Mensi</w:t>
      </w:r>
      <w:r w:rsidRPr="00920D06">
        <w:rPr>
          <w:rFonts w:asciiTheme="minorHAnsi" w:hAnsiTheme="minorHAnsi" w:cstheme="minorHAnsi"/>
          <w:sz w:val="22"/>
          <w:szCs w:val="22"/>
        </w:rPr>
        <w:t xml:space="preserve">, </w:t>
      </w:r>
      <w:r w:rsidR="00920D06" w:rsidRPr="00920D06">
        <w:rPr>
          <w:rFonts w:asciiTheme="minorHAnsi" w:hAnsiTheme="minorHAnsi" w:cstheme="minorHAnsi"/>
          <w:sz w:val="22"/>
          <w:szCs w:val="22"/>
        </w:rPr>
        <w:t>Section of Periodontics, School of Dentistry, Department of Surgical</w:t>
      </w:r>
      <w:r w:rsidR="00920D06" w:rsidRPr="00920D06">
        <w:rPr>
          <w:rFonts w:asciiTheme="minorHAnsi" w:hAnsiTheme="minorHAnsi" w:cstheme="minorHAnsi"/>
          <w:sz w:val="22"/>
          <w:szCs w:val="22"/>
        </w:rPr>
        <w:br/>
        <w:t xml:space="preserve">Specialties, Radiological Science and Public Health, University of Brescia, Brescia, Italy </w:t>
      </w:r>
    </w:p>
    <w:p w14:paraId="2B8A0E68" w14:textId="42C8EE67" w:rsidR="00437053" w:rsidRPr="00920D06" w:rsidRDefault="00437053" w:rsidP="00920D06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iCs/>
          <w:color w:val="auto"/>
          <w:sz w:val="22"/>
          <w:szCs w:val="22"/>
          <w:lang w:val="en-GB" w:eastAsia="en-US"/>
        </w:rPr>
        <w:sectPr w:rsidR="00437053" w:rsidRPr="00920D06" w:rsidSect="0043705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920D06">
        <w:rPr>
          <w:rFonts w:asciiTheme="minorHAnsi" w:eastAsiaTheme="minorHAnsi" w:hAnsiTheme="minorHAnsi" w:cstheme="minorHAnsi"/>
          <w:iCs/>
          <w:color w:val="auto"/>
          <w:sz w:val="22"/>
          <w:szCs w:val="22"/>
          <w:lang w:eastAsia="en-US"/>
        </w:rPr>
        <w:t>U.O.C. Odontostomatologia – ASST degli</w:t>
      </w:r>
      <w:r w:rsidRPr="00920D06">
        <w:rPr>
          <w:rFonts w:asciiTheme="minorHAnsi" w:eastAsiaTheme="minorHAnsi" w:hAnsiTheme="minorHAnsi" w:cstheme="minorHAnsi"/>
          <w:iCs/>
          <w:color w:val="auto"/>
          <w:sz w:val="22"/>
          <w:szCs w:val="22"/>
          <w:lang w:eastAsia="en-US"/>
        </w:rPr>
        <w:t xml:space="preserve"> </w:t>
      </w:r>
      <w:r w:rsidRPr="00920D06">
        <w:rPr>
          <w:rFonts w:asciiTheme="minorHAnsi" w:eastAsiaTheme="minorHAnsi" w:hAnsiTheme="minorHAnsi" w:cstheme="minorHAnsi"/>
          <w:iCs/>
          <w:color w:val="auto"/>
          <w:sz w:val="22"/>
          <w:szCs w:val="22"/>
          <w:lang w:eastAsia="en-US"/>
        </w:rPr>
        <w:t>Spedali Civili di Brescia, Brescia, Italy</w:t>
      </w:r>
    </w:p>
    <w:bookmarkEnd w:id="0"/>
    <w:p w14:paraId="56A9EF5B" w14:textId="77777777" w:rsidR="00437053" w:rsidRPr="00920D06" w:rsidRDefault="00437053" w:rsidP="00920D0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  <w:sectPr w:rsidR="00437053" w:rsidRPr="00920D06" w:rsidSect="0043705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64DC813" w14:textId="26C63533" w:rsidR="00437053" w:rsidRPr="00920D06" w:rsidRDefault="00343B89" w:rsidP="00920D0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0D06">
        <w:rPr>
          <w:rFonts w:asciiTheme="minorHAnsi" w:hAnsiTheme="minorHAnsi" w:cstheme="minorHAnsi"/>
          <w:b/>
          <w:bCs/>
          <w:sz w:val="22"/>
          <w:szCs w:val="22"/>
        </w:rPr>
        <w:t xml:space="preserve">Eleonora </w:t>
      </w:r>
      <w:r w:rsidR="00920D06" w:rsidRPr="00920D06"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920D06">
        <w:rPr>
          <w:rFonts w:asciiTheme="minorHAnsi" w:hAnsiTheme="minorHAnsi" w:cstheme="minorHAnsi"/>
          <w:b/>
          <w:bCs/>
          <w:sz w:val="22"/>
          <w:szCs w:val="22"/>
        </w:rPr>
        <w:t>cotti</w:t>
      </w:r>
      <w:r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Section of Periodontics, School of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Dentistry, Department of Surgical</w:t>
      </w:r>
      <w:r w:rsidRPr="00920D06">
        <w:rPr>
          <w:rFonts w:asciiTheme="minorHAnsi" w:hAnsiTheme="minorHAnsi" w:cstheme="minorHAnsi"/>
          <w:sz w:val="22"/>
          <w:szCs w:val="22"/>
        </w:rPr>
        <w:br/>
        <w:t>Specialties, Radiological Science and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Public Health, University of Brescia,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Brescia, Italy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6EF8F4" w14:textId="028A0DD1" w:rsidR="000F4769" w:rsidRPr="00920D06" w:rsidRDefault="00437053" w:rsidP="00920D0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0D06">
        <w:rPr>
          <w:rFonts w:asciiTheme="minorHAnsi" w:hAnsiTheme="minorHAnsi" w:cstheme="minorHAnsi"/>
          <w:sz w:val="22"/>
          <w:szCs w:val="22"/>
        </w:rPr>
        <w:t>U.O.C. Odontostomatologia – ASST degli</w:t>
      </w:r>
      <w:r w:rsidR="00920D06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Spedali Civili di Brescia, Brescia, Italy</w:t>
      </w:r>
    </w:p>
    <w:p w14:paraId="6CD424AA" w14:textId="77777777" w:rsidR="00437053" w:rsidRPr="00920D06" w:rsidRDefault="00437053" w:rsidP="00920D0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745E6A5" w14:textId="7DB8F094" w:rsidR="00343B89" w:rsidRPr="00920D06" w:rsidRDefault="00343B89" w:rsidP="00920D0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0D06">
        <w:rPr>
          <w:rFonts w:asciiTheme="minorHAnsi" w:hAnsiTheme="minorHAnsi" w:cstheme="minorHAnsi"/>
          <w:b/>
          <w:bCs/>
          <w:sz w:val="22"/>
          <w:szCs w:val="22"/>
        </w:rPr>
        <w:t>Annamaria Sordillo</w:t>
      </w:r>
      <w:r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Section of Periodontics, School of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Dentistry, Department of Surgical</w:t>
      </w:r>
      <w:r w:rsidRPr="00920D06">
        <w:rPr>
          <w:rFonts w:asciiTheme="minorHAnsi" w:hAnsiTheme="minorHAnsi" w:cstheme="minorHAnsi"/>
          <w:sz w:val="22"/>
          <w:szCs w:val="22"/>
        </w:rPr>
        <w:br/>
        <w:t>Specialties, Radiological Science and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Public Health, University of Brescia,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Brescia, Italy</w:t>
      </w:r>
    </w:p>
    <w:p w14:paraId="7C12072F" w14:textId="77777777" w:rsidR="00437053" w:rsidRPr="00920D06" w:rsidRDefault="00437053" w:rsidP="00920D0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AB16E89" w14:textId="7F02992C" w:rsidR="00343B89" w:rsidRPr="00920D06" w:rsidRDefault="00343B89" w:rsidP="00920D06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20D06">
        <w:rPr>
          <w:rFonts w:asciiTheme="minorHAnsi" w:hAnsiTheme="minorHAnsi" w:cstheme="minorHAnsi"/>
          <w:b/>
          <w:bCs/>
          <w:sz w:val="22"/>
          <w:szCs w:val="22"/>
        </w:rPr>
        <w:t>Matteo Dalè</w:t>
      </w:r>
      <w:r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Section of Periodontics, School of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Dentistry, Department of Surgical</w:t>
      </w:r>
      <w:r w:rsidRPr="00920D06">
        <w:rPr>
          <w:rFonts w:asciiTheme="minorHAnsi" w:hAnsiTheme="minorHAnsi" w:cstheme="minorHAnsi"/>
          <w:sz w:val="22"/>
          <w:szCs w:val="22"/>
        </w:rPr>
        <w:br/>
        <w:t>Specialties, Radiological Science and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Public Health, University of Brescia,</w:t>
      </w:r>
      <w:r w:rsidR="00437053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Pr="00920D06">
        <w:rPr>
          <w:rFonts w:asciiTheme="minorHAnsi" w:hAnsiTheme="minorHAnsi" w:cstheme="minorHAnsi"/>
          <w:sz w:val="22"/>
          <w:szCs w:val="22"/>
        </w:rPr>
        <w:t>Brescia, Italy</w:t>
      </w:r>
    </w:p>
    <w:p w14:paraId="2248F8A3" w14:textId="77777777" w:rsidR="00437053" w:rsidRPr="00920D06" w:rsidRDefault="00437053" w:rsidP="00920D0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D299DDE" w14:textId="1D8895DA" w:rsidR="00343B89" w:rsidRPr="00920D06" w:rsidRDefault="00343B89" w:rsidP="00920D0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  <w:sectPr w:rsidR="00343B89" w:rsidRPr="00920D06" w:rsidSect="0043705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920D06">
        <w:rPr>
          <w:rFonts w:asciiTheme="minorHAnsi" w:hAnsiTheme="minorHAnsi" w:cstheme="minorHAnsi"/>
          <w:b/>
          <w:bCs/>
          <w:sz w:val="22"/>
          <w:szCs w:val="22"/>
        </w:rPr>
        <w:t xml:space="preserve">Stefano </w:t>
      </w:r>
      <w:r w:rsidR="00920D06" w:rsidRPr="00920D06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920D06">
        <w:rPr>
          <w:rFonts w:asciiTheme="minorHAnsi" w:hAnsiTheme="minorHAnsi" w:cstheme="minorHAnsi"/>
          <w:b/>
          <w:bCs/>
          <w:sz w:val="22"/>
          <w:szCs w:val="22"/>
        </w:rPr>
        <w:t>alza</w:t>
      </w:r>
      <w:r w:rsidR="00920D06" w:rsidRPr="00920D0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20D06" w:rsidRPr="00920D06">
        <w:rPr>
          <w:rFonts w:asciiTheme="minorHAnsi" w:hAnsiTheme="minorHAnsi" w:cstheme="minorHAnsi"/>
          <w:sz w:val="22"/>
          <w:szCs w:val="22"/>
        </w:rPr>
        <w:t>Department of Molecular and</w:t>
      </w:r>
      <w:r w:rsidR="00920D06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="00920D06" w:rsidRPr="00920D06">
        <w:rPr>
          <w:rFonts w:asciiTheme="minorHAnsi" w:hAnsiTheme="minorHAnsi" w:cstheme="minorHAnsi"/>
          <w:sz w:val="22"/>
          <w:szCs w:val="22"/>
        </w:rPr>
        <w:t>Translational Medicine, University of</w:t>
      </w:r>
      <w:r w:rsidR="00920D06" w:rsidRPr="00920D06">
        <w:rPr>
          <w:rFonts w:asciiTheme="minorHAnsi" w:hAnsiTheme="minorHAnsi" w:cstheme="minorHAnsi"/>
          <w:sz w:val="22"/>
          <w:szCs w:val="22"/>
        </w:rPr>
        <w:t xml:space="preserve"> </w:t>
      </w:r>
      <w:r w:rsidR="00920D06" w:rsidRPr="00920D06">
        <w:rPr>
          <w:rFonts w:asciiTheme="minorHAnsi" w:hAnsiTheme="minorHAnsi" w:cstheme="minorHAnsi"/>
          <w:sz w:val="22"/>
          <w:szCs w:val="22"/>
        </w:rPr>
        <w:t>Brescia, Brescia, Italy</w:t>
      </w:r>
    </w:p>
    <w:p w14:paraId="38D3ABC6" w14:textId="1081586A" w:rsidR="00605BCD" w:rsidRPr="00920D06" w:rsidRDefault="00605BCD" w:rsidP="00920D06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AAF36A1" w14:textId="77777777" w:rsidR="00343B89" w:rsidRDefault="00343B89" w:rsidP="001530EA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AC65AB4" w14:textId="77777777" w:rsidR="00343B89" w:rsidRDefault="00343B89" w:rsidP="001530EA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85C9BAC" w14:textId="77777777" w:rsidR="00343B89" w:rsidRDefault="00343B89" w:rsidP="001530EA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1D3F4C" w14:textId="77777777" w:rsidR="00437053" w:rsidRDefault="00437053" w:rsidP="001530EA">
      <w:pPr>
        <w:jc w:val="both"/>
        <w:rPr>
          <w:rFonts w:asciiTheme="minorHAnsi" w:hAnsiTheme="minorHAnsi" w:cstheme="minorHAnsi"/>
          <w:b/>
          <w:bCs/>
          <w:sz w:val="22"/>
          <w:szCs w:val="22"/>
        </w:rPr>
        <w:sectPr w:rsidR="00437053" w:rsidSect="0043705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A793F57" w14:textId="77777777" w:rsidR="00437053" w:rsidRPr="001530EA" w:rsidRDefault="00437053" w:rsidP="0043705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530EA">
        <w:rPr>
          <w:rFonts w:asciiTheme="minorHAnsi" w:hAnsiTheme="minorHAnsi" w:cstheme="minorHAnsi"/>
          <w:b/>
          <w:bCs/>
          <w:sz w:val="22"/>
          <w:szCs w:val="22"/>
        </w:rPr>
        <w:t>Abstract</w:t>
      </w:r>
    </w:p>
    <w:p w14:paraId="687F90F2" w14:textId="77777777" w:rsidR="00437053" w:rsidRPr="001530EA" w:rsidRDefault="00437053" w:rsidP="00437053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3E57399D" w14:textId="760D9131" w:rsidR="00437053" w:rsidRPr="00FC50A1" w:rsidRDefault="00437053" w:rsidP="00920D0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20D06">
        <w:rPr>
          <w:rFonts w:asciiTheme="minorHAnsi" w:hAnsiTheme="minorHAnsi" w:cstheme="minorHAnsi"/>
          <w:sz w:val="24"/>
          <w:szCs w:val="24"/>
          <w:lang w:val="en-GB"/>
        </w:rPr>
        <w:t>Gingivitis</w:t>
      </w:r>
      <w:r w:rsidRPr="00920D06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920D06">
        <w:rPr>
          <w:rFonts w:asciiTheme="minorHAnsi" w:hAnsiTheme="minorHAnsi" w:cstheme="minorHAnsi"/>
          <w:sz w:val="24"/>
          <w:szCs w:val="24"/>
        </w:rPr>
        <w:t>represent</w:t>
      </w:r>
      <w:proofErr w:type="gramEnd"/>
      <w:r w:rsidRPr="00920D06">
        <w:rPr>
          <w:rFonts w:asciiTheme="minorHAnsi" w:hAnsiTheme="minorHAnsi" w:cstheme="minorHAnsi"/>
          <w:sz w:val="24"/>
          <w:szCs w:val="24"/>
        </w:rPr>
        <w:t xml:space="preserve"> one of the most common</w:t>
      </w:r>
      <w:r w:rsidRPr="00920D06">
        <w:rPr>
          <w:rFonts w:asciiTheme="minorHAnsi" w:hAnsiTheme="minorHAnsi" w:cstheme="minorHAnsi"/>
          <w:sz w:val="24"/>
          <w:szCs w:val="24"/>
          <w:lang w:val="en-GB"/>
        </w:rPr>
        <w:t xml:space="preserve"> pathology</w:t>
      </w:r>
      <w:r w:rsidRPr="00920D06">
        <w:rPr>
          <w:rFonts w:asciiTheme="minorHAnsi" w:hAnsiTheme="minorHAnsi" w:cstheme="minorHAnsi"/>
          <w:sz w:val="24"/>
          <w:szCs w:val="24"/>
        </w:rPr>
        <w:t xml:space="preserve"> about oral soft tissue due to biofilm accumulation [1]. Mechanical biofilm removal is the key treatment for gingivitis. Traditional protocol involve manual and mechanical instrument, followed by polishing with rubber cup and abrasive paste</w:t>
      </w:r>
      <w:r w:rsidR="00917276">
        <w:rPr>
          <w:rFonts w:asciiTheme="minorHAnsi" w:hAnsiTheme="minorHAnsi" w:cstheme="minorHAnsi"/>
          <w:sz w:val="24"/>
          <w:szCs w:val="24"/>
        </w:rPr>
        <w:t xml:space="preserve"> [</w:t>
      </w:r>
      <w:r w:rsidR="00F36AB1">
        <w:rPr>
          <w:rFonts w:asciiTheme="minorHAnsi" w:hAnsiTheme="minorHAnsi" w:cstheme="minorHAnsi"/>
          <w:sz w:val="24"/>
          <w:szCs w:val="24"/>
        </w:rPr>
        <w:t>2</w:t>
      </w:r>
      <w:r w:rsidR="00917276">
        <w:rPr>
          <w:rFonts w:asciiTheme="minorHAnsi" w:hAnsiTheme="minorHAnsi" w:cstheme="minorHAnsi"/>
          <w:sz w:val="24"/>
          <w:szCs w:val="24"/>
        </w:rPr>
        <w:t>]</w:t>
      </w:r>
      <w:r w:rsidRPr="00920D06">
        <w:rPr>
          <w:rFonts w:asciiTheme="minorHAnsi" w:hAnsiTheme="minorHAnsi" w:cstheme="minorHAnsi"/>
          <w:sz w:val="24"/>
          <w:szCs w:val="24"/>
        </w:rPr>
        <w:t>.</w:t>
      </w:r>
      <w:r w:rsidRPr="00920D06">
        <w:rPr>
          <w:rFonts w:asciiTheme="minorHAnsi" w:hAnsiTheme="minorHAnsi" w:cstheme="minorHAnsi"/>
          <w:sz w:val="24"/>
          <w:szCs w:val="24"/>
          <w:lang w:val="en-GB"/>
        </w:rPr>
        <w:t xml:space="preserve"> Currently</w:t>
      </w:r>
      <w:r w:rsidRPr="00920D06">
        <w:rPr>
          <w:rFonts w:asciiTheme="minorHAnsi" w:hAnsiTheme="minorHAnsi" w:cstheme="minorHAnsi"/>
          <w:sz w:val="24"/>
          <w:szCs w:val="24"/>
        </w:rPr>
        <w:t>, air polishing with eritritoli powder can be a suitable option for plaque removal, with higher comfort and saving time</w:t>
      </w:r>
      <w:r w:rsidR="00B306FC">
        <w:rPr>
          <w:rFonts w:asciiTheme="minorHAnsi" w:hAnsiTheme="minorHAnsi" w:cstheme="minorHAnsi"/>
          <w:sz w:val="24"/>
          <w:szCs w:val="24"/>
        </w:rPr>
        <w:t xml:space="preserve"> [</w:t>
      </w:r>
      <w:r w:rsidR="00F36AB1">
        <w:rPr>
          <w:rFonts w:asciiTheme="minorHAnsi" w:hAnsiTheme="minorHAnsi" w:cstheme="minorHAnsi"/>
          <w:sz w:val="24"/>
          <w:szCs w:val="24"/>
        </w:rPr>
        <w:t>3</w:t>
      </w:r>
      <w:r w:rsidR="00B306FC">
        <w:rPr>
          <w:rFonts w:asciiTheme="minorHAnsi" w:hAnsiTheme="minorHAnsi" w:cstheme="minorHAnsi"/>
          <w:sz w:val="24"/>
          <w:szCs w:val="24"/>
        </w:rPr>
        <w:t>]</w:t>
      </w:r>
      <w:r w:rsidRPr="00920D06">
        <w:rPr>
          <w:rFonts w:asciiTheme="minorHAnsi" w:hAnsiTheme="minorHAnsi" w:cstheme="minorHAnsi"/>
          <w:sz w:val="24"/>
          <w:szCs w:val="24"/>
        </w:rPr>
        <w:t>. Plaque disclosing agents can help patients and clinician to remove biofilm efficiently, especially in areas of difficult access</w:t>
      </w:r>
      <w:r w:rsidR="00917276">
        <w:rPr>
          <w:rFonts w:asciiTheme="minorHAnsi" w:hAnsiTheme="minorHAnsi" w:cstheme="minorHAnsi"/>
          <w:sz w:val="24"/>
          <w:szCs w:val="24"/>
        </w:rPr>
        <w:t xml:space="preserve"> [</w:t>
      </w:r>
      <w:r w:rsidR="00F36AB1">
        <w:rPr>
          <w:rFonts w:asciiTheme="minorHAnsi" w:hAnsiTheme="minorHAnsi" w:cstheme="minorHAnsi"/>
          <w:sz w:val="24"/>
          <w:szCs w:val="24"/>
        </w:rPr>
        <w:t>4</w:t>
      </w:r>
      <w:r w:rsidR="00917276">
        <w:rPr>
          <w:rFonts w:asciiTheme="minorHAnsi" w:hAnsiTheme="minorHAnsi" w:cstheme="minorHAnsi"/>
          <w:sz w:val="24"/>
          <w:szCs w:val="24"/>
        </w:rPr>
        <w:t>]</w:t>
      </w:r>
      <w:r w:rsidRPr="00920D06">
        <w:rPr>
          <w:rFonts w:asciiTheme="minorHAnsi" w:hAnsiTheme="minorHAnsi" w:cstheme="minorHAnsi"/>
          <w:sz w:val="24"/>
          <w:szCs w:val="24"/>
        </w:rPr>
        <w:t>. For research purposes, plaque disclosing can also be used for photography software analysis and computer plaque quantification</w:t>
      </w:r>
      <w:r w:rsidR="00B306FC">
        <w:rPr>
          <w:rFonts w:asciiTheme="minorHAnsi" w:hAnsiTheme="minorHAnsi" w:cstheme="minorHAnsi"/>
          <w:sz w:val="24"/>
          <w:szCs w:val="24"/>
        </w:rPr>
        <w:t xml:space="preserve"> [</w:t>
      </w:r>
      <w:r w:rsidR="00F36AB1">
        <w:rPr>
          <w:rFonts w:asciiTheme="minorHAnsi" w:hAnsiTheme="minorHAnsi" w:cstheme="minorHAnsi"/>
          <w:sz w:val="24"/>
          <w:szCs w:val="24"/>
        </w:rPr>
        <w:t>5</w:t>
      </w:r>
      <w:r w:rsidR="00B306FC">
        <w:rPr>
          <w:rFonts w:asciiTheme="minorHAnsi" w:hAnsiTheme="minorHAnsi" w:cstheme="minorHAnsi"/>
          <w:sz w:val="24"/>
          <w:szCs w:val="24"/>
        </w:rPr>
        <w:t>]</w:t>
      </w:r>
      <w:r w:rsidRPr="00920D06">
        <w:rPr>
          <w:rFonts w:asciiTheme="minorHAnsi" w:hAnsiTheme="minorHAnsi" w:cstheme="minorHAnsi"/>
          <w:sz w:val="24"/>
          <w:szCs w:val="24"/>
        </w:rPr>
        <w:t>. Recently, a new protocol has been introduced, involving a plaque disclosing agent and air polishing with erythritol powder for biofilm removal, followed by site-specific ultrasonic instrumentation for calculus removal. This protocol is known as Guided Biofilm Therapy® (GBT). The aim of the study was to evaluate the efficacy of air polishing followed by ultrasonic calculus removal (A+US) for the resolution of gingivitis in terms of reduction in bleeding on probing (BoP) at 2 and 4 weeks,</w:t>
      </w:r>
      <w:r w:rsidRPr="00920D06">
        <w:rPr>
          <w:rFonts w:asciiTheme="minorHAnsi" w:hAnsiTheme="minorHAnsi" w:cstheme="minorHAnsi"/>
          <w:sz w:val="24"/>
          <w:szCs w:val="24"/>
        </w:rPr>
        <w:br/>
        <w:t xml:space="preserve">compared with conventional full-mouth ultrasonic debridement followed by rubber cup with </w:t>
      </w:r>
      <w:r w:rsidRPr="00920D06">
        <w:rPr>
          <w:rFonts w:asciiTheme="minorHAnsi" w:hAnsiTheme="minorHAnsi" w:cstheme="minorHAnsi"/>
          <w:sz w:val="24"/>
          <w:szCs w:val="24"/>
        </w:rPr>
        <w:lastRenderedPageBreak/>
        <w:t>abrasive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paste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(US+P).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Secondary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aims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were the evaluation of Residual Plaque Areas (RPA), treatment time and patient comfort/satisfaction, and plaque index change at 2 and 4 weeks. Both treatments showed a significant reduction in BoP and PI. At 4 weeks, A+US seems to reach a statistically significant lower BoP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(8.7%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[6.9;10.9]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vs.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11.6%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[9.3;14.4],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i/>
          <w:iCs/>
          <w:sz w:val="24"/>
          <w:szCs w:val="24"/>
        </w:rPr>
        <w:t xml:space="preserve">p </w:t>
      </w:r>
      <w:r w:rsidRPr="00920D06">
        <w:rPr>
          <w:rFonts w:asciiTheme="minorHAnsi" w:hAnsiTheme="minorHAnsi" w:cstheme="minorHAnsi"/>
          <w:sz w:val="24"/>
          <w:szCs w:val="24"/>
        </w:rPr>
        <w:t xml:space="preserve">&lt; 0.0001) and PI (10.7% [8.9; 13.0] vs. 12.3% [10.2; 14.9], </w:t>
      </w:r>
      <w:r w:rsidRPr="00920D06">
        <w:rPr>
          <w:rFonts w:asciiTheme="minorHAnsi" w:hAnsiTheme="minorHAnsi" w:cstheme="minorHAnsi"/>
          <w:i/>
          <w:iCs/>
          <w:sz w:val="24"/>
          <w:szCs w:val="24"/>
        </w:rPr>
        <w:t>p</w:t>
      </w:r>
      <w:r w:rsidRPr="00920D06">
        <w:rPr>
          <w:rFonts w:asciiTheme="minorHAnsi" w:hAnsiTheme="minorHAnsi" w:cstheme="minorHAnsi"/>
          <w:sz w:val="24"/>
          <w:szCs w:val="24"/>
        </w:rPr>
        <w:t>=0.033).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Moreover,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A+US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treatment time lasted on average 9.2% less than US+P (</w:t>
      </w:r>
      <w:r w:rsidRPr="00920D06">
        <w:rPr>
          <w:rFonts w:asciiTheme="minorHAnsi" w:hAnsiTheme="minorHAnsi" w:cstheme="minorHAnsi"/>
          <w:i/>
          <w:iCs/>
          <w:sz w:val="24"/>
          <w:szCs w:val="24"/>
        </w:rPr>
        <w:t xml:space="preserve">p </w:t>
      </w:r>
      <w:r w:rsidRPr="00920D06">
        <w:rPr>
          <w:rFonts w:asciiTheme="minorHAnsi" w:hAnsiTheme="minorHAnsi" w:cstheme="minorHAnsi"/>
          <w:sz w:val="24"/>
          <w:szCs w:val="24"/>
        </w:rPr>
        <w:t>&lt; 0.0001) and was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the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preferred</w:t>
      </w:r>
      <w:r w:rsidR="00FC50A1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treatment for a significantly higher number of patients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(73.2%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vs.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sz w:val="24"/>
          <w:szCs w:val="24"/>
        </w:rPr>
        <w:t>17.1%,</w:t>
      </w:r>
      <w:r w:rsidR="00142AA6">
        <w:rPr>
          <w:rFonts w:asciiTheme="minorHAnsi" w:hAnsiTheme="minorHAnsi" w:cstheme="minorHAnsi"/>
          <w:sz w:val="24"/>
          <w:szCs w:val="24"/>
        </w:rPr>
        <w:t xml:space="preserve"> </w:t>
      </w:r>
      <w:r w:rsidRPr="00920D06">
        <w:rPr>
          <w:rFonts w:asciiTheme="minorHAnsi" w:hAnsiTheme="minorHAnsi" w:cstheme="minorHAnsi"/>
          <w:i/>
          <w:iCs/>
          <w:sz w:val="24"/>
          <w:szCs w:val="24"/>
        </w:rPr>
        <w:t>p</w:t>
      </w:r>
      <w:r w:rsidRPr="00920D06">
        <w:rPr>
          <w:rFonts w:asciiTheme="minorHAnsi" w:hAnsiTheme="minorHAnsi" w:cstheme="minorHAnsi"/>
          <w:sz w:val="24"/>
          <w:szCs w:val="24"/>
        </w:rPr>
        <w:t>=0.0001).</w:t>
      </w:r>
    </w:p>
    <w:p w14:paraId="334A06BD" w14:textId="3CE0BEDB" w:rsidR="00437053" w:rsidRPr="00920D06" w:rsidRDefault="00437053" w:rsidP="00920D06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920D06">
        <w:rPr>
          <w:rFonts w:asciiTheme="minorHAnsi" w:hAnsiTheme="minorHAnsi" w:cstheme="minorHAnsi"/>
          <w:b/>
          <w:bCs/>
          <w:sz w:val="24"/>
          <w:szCs w:val="24"/>
          <w:lang w:val="en-US"/>
        </w:rPr>
        <w:t>Image</w:t>
      </w:r>
      <w:r w:rsidR="00056810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s </w:t>
      </w:r>
    </w:p>
    <w:p w14:paraId="39F15E2C" w14:textId="77777777" w:rsidR="00437053" w:rsidRPr="00920D06" w:rsidRDefault="00437053" w:rsidP="00920D06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7BB68BD5" w14:textId="0039B6C6" w:rsidR="00437053" w:rsidRDefault="002124B1" w:rsidP="00920D06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2124B1">
        <w:rPr>
          <w:rFonts w:ascii="Garamond" w:hAnsi="Garamond" w:cs="Arial"/>
          <w:noProof/>
          <w:color w:val="222222"/>
          <w:sz w:val="24"/>
          <w:szCs w:val="24"/>
          <w:bdr w:val="nil"/>
          <w:shd w:val="clear" w:color="auto" w:fill="FFFFFF"/>
        </w:rPr>
        <w:drawing>
          <wp:inline distT="0" distB="0" distL="0" distR="0" wp14:anchorId="7DBCD756" wp14:editId="3E1ECEC6">
            <wp:extent cx="2480945" cy="148145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1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noProof/>
          <w:color w:val="222222"/>
          <w:sz w:val="24"/>
          <w:szCs w:val="24"/>
          <w:shd w:val="clear" w:color="auto" w:fill="FFFFFF"/>
        </w:rPr>
        <w:drawing>
          <wp:inline distT="0" distB="0" distL="0" distR="0" wp14:anchorId="412574A4" wp14:editId="46007051">
            <wp:extent cx="2590800" cy="1494244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614" cy="149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BF072" w14:textId="41A78E12" w:rsidR="002124B1" w:rsidRDefault="002124B1" w:rsidP="00920D06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920D06">
        <w:rPr>
          <w:rFonts w:asciiTheme="minorHAnsi" w:hAnsiTheme="minorHAnsi" w:cstheme="minorHAnsi"/>
          <w:b/>
          <w:bCs/>
          <w:noProof/>
          <w:sz w:val="24"/>
          <w:szCs w:val="24"/>
          <w:lang w:val="en-US"/>
        </w:rPr>
        <w:drawing>
          <wp:inline distT="0" distB="0" distL="0" distR="0" wp14:anchorId="426D3E9F" wp14:editId="4F5EE0AF">
            <wp:extent cx="2480733" cy="1649353"/>
            <wp:effectExtent l="0" t="0" r="0" b="825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51" cy="1665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 w:cs="Arial"/>
          <w:noProof/>
          <w:color w:val="222222"/>
          <w:sz w:val="24"/>
          <w:szCs w:val="24"/>
          <w:shd w:val="clear" w:color="auto" w:fill="FFFFFF"/>
        </w:rPr>
        <w:drawing>
          <wp:inline distT="0" distB="0" distL="0" distR="0" wp14:anchorId="5C4374B5" wp14:editId="7965ACEF">
            <wp:extent cx="2590800" cy="1598653"/>
            <wp:effectExtent l="0" t="0" r="0" b="190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264" cy="160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21DF5" w14:textId="19E1BC7A" w:rsidR="002124B1" w:rsidRDefault="002124B1" w:rsidP="00920D06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04086120" w14:textId="1D07D1D0" w:rsidR="002124B1" w:rsidRPr="002124B1" w:rsidRDefault="002124B1" w:rsidP="00920D0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2124B1">
        <w:rPr>
          <w:rFonts w:asciiTheme="minorHAnsi" w:hAnsiTheme="minorHAnsi" w:cstheme="minorHAnsi"/>
          <w:sz w:val="24"/>
          <w:szCs w:val="24"/>
        </w:rPr>
        <w:br/>
      </w:r>
      <w:r w:rsidR="007D6B8E">
        <w:rPr>
          <w:rFonts w:asciiTheme="minorHAnsi" w:hAnsiTheme="minorHAnsi" w:cstheme="minorHAnsi"/>
          <w:sz w:val="24"/>
          <w:szCs w:val="24"/>
        </w:rPr>
        <w:t>Figure 1</w:t>
      </w:r>
      <w:r w:rsidR="00793554">
        <w:rPr>
          <w:rFonts w:asciiTheme="minorHAnsi" w:hAnsiTheme="minorHAnsi" w:cstheme="minorHAnsi"/>
          <w:sz w:val="24"/>
          <w:szCs w:val="24"/>
        </w:rPr>
        <w:t>:</w:t>
      </w:r>
      <w:r w:rsidR="007D6B8E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The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clinical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image(A)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was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uploaded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on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drawing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tablet,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and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the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clinical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crowns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were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selected.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The cropped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selections(B)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wer</w:t>
      </w:r>
      <w:r w:rsidR="00351AAD">
        <w:rPr>
          <w:rFonts w:asciiTheme="minorHAnsi" w:hAnsiTheme="minorHAnsi" w:cstheme="minorHAnsi"/>
          <w:sz w:val="24"/>
          <w:szCs w:val="24"/>
        </w:rPr>
        <w:t xml:space="preserve">e </w:t>
      </w:r>
      <w:r w:rsidRPr="002124B1">
        <w:rPr>
          <w:rFonts w:asciiTheme="minorHAnsi" w:hAnsiTheme="minorHAnsi" w:cstheme="minorHAnsi"/>
          <w:sz w:val="24"/>
          <w:szCs w:val="24"/>
        </w:rPr>
        <w:t>transferred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to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ImageJ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software,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and converted into RGB stacks</w:t>
      </w:r>
      <w:r w:rsidR="00793554">
        <w:rPr>
          <w:rFonts w:asciiTheme="minorHAnsi" w:hAnsiTheme="minorHAnsi" w:cstheme="minorHAnsi"/>
          <w:sz w:val="24"/>
          <w:szCs w:val="24"/>
        </w:rPr>
        <w:t xml:space="preserve"> (C)</w:t>
      </w:r>
      <w:r w:rsidR="00351AAD">
        <w:rPr>
          <w:rFonts w:asciiTheme="minorHAnsi" w:hAnsiTheme="minorHAnsi" w:cstheme="minorHAnsi"/>
          <w:sz w:val="24"/>
          <w:szCs w:val="24"/>
        </w:rPr>
        <w:t>. T</w:t>
      </w:r>
      <w:r w:rsidRPr="002124B1">
        <w:rPr>
          <w:rFonts w:asciiTheme="minorHAnsi" w:hAnsiTheme="minorHAnsi" w:cstheme="minorHAnsi"/>
          <w:sz w:val="24"/>
          <w:szCs w:val="24"/>
        </w:rPr>
        <w:t>hrough colour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threshold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2124B1">
        <w:rPr>
          <w:rFonts w:asciiTheme="minorHAnsi" w:hAnsiTheme="minorHAnsi" w:cstheme="minorHAnsi"/>
          <w:sz w:val="24"/>
          <w:szCs w:val="24"/>
        </w:rPr>
        <w:t>function,the</w:t>
      </w:r>
      <w:proofErr w:type="gramEnd"/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grey</w:t>
      </w:r>
      <w:r w:rsidR="00351AAD">
        <w:rPr>
          <w:rFonts w:asciiTheme="minorHAnsi" w:hAnsiTheme="minorHAnsi" w:cstheme="minorHAnsi"/>
          <w:sz w:val="24"/>
          <w:szCs w:val="24"/>
        </w:rPr>
        <w:t xml:space="preserve"> s</w:t>
      </w:r>
      <w:r w:rsidRPr="002124B1">
        <w:rPr>
          <w:rFonts w:asciiTheme="minorHAnsi" w:hAnsiTheme="minorHAnsi" w:cstheme="minorHAnsi"/>
          <w:sz w:val="24"/>
          <w:szCs w:val="24"/>
        </w:rPr>
        <w:t>hades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corresponding</w:t>
      </w:r>
      <w:r w:rsidR="00351AAD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to the disclosing agent were</w:t>
      </w:r>
      <w:r w:rsidR="00793554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selected</w:t>
      </w:r>
      <w:r w:rsidR="00793554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(D),</w:t>
      </w:r>
      <w:r w:rsidR="00793554">
        <w:rPr>
          <w:rFonts w:asciiTheme="minorHAnsi" w:hAnsiTheme="minorHAnsi" w:cstheme="minorHAnsi"/>
          <w:sz w:val="24"/>
          <w:szCs w:val="24"/>
        </w:rPr>
        <w:t xml:space="preserve"> </w:t>
      </w:r>
      <w:r w:rsidRPr="002124B1">
        <w:rPr>
          <w:rFonts w:asciiTheme="minorHAnsi" w:hAnsiTheme="minorHAnsi" w:cstheme="minorHAnsi"/>
          <w:sz w:val="24"/>
          <w:szCs w:val="24"/>
        </w:rPr>
        <w:t>and the RPA was calculated</w:t>
      </w:r>
      <w:r w:rsidR="00351AAD">
        <w:rPr>
          <w:rFonts w:asciiTheme="minorHAnsi" w:hAnsiTheme="minorHAnsi" w:cstheme="minorHAnsi"/>
          <w:sz w:val="24"/>
          <w:szCs w:val="24"/>
        </w:rPr>
        <w:t>.</w:t>
      </w:r>
    </w:p>
    <w:p w14:paraId="7ABB2C9E" w14:textId="77777777" w:rsidR="003273C1" w:rsidRDefault="003273C1" w:rsidP="00920D06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251F6005" w14:textId="2A5785F7" w:rsidR="00437053" w:rsidRPr="00920D06" w:rsidRDefault="00437053" w:rsidP="00920D06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920D06">
        <w:rPr>
          <w:rFonts w:asciiTheme="minorHAnsi" w:hAnsiTheme="minorHAnsi" w:cstheme="minorHAnsi"/>
          <w:b/>
          <w:bCs/>
          <w:sz w:val="24"/>
          <w:szCs w:val="24"/>
          <w:lang w:val="en-US"/>
        </w:rPr>
        <w:t>Publication</w:t>
      </w:r>
    </w:p>
    <w:p w14:paraId="3FB35A30" w14:textId="77777777" w:rsidR="00437053" w:rsidRPr="00920D06" w:rsidRDefault="00437053" w:rsidP="00920D0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E97AA05" w14:textId="77777777" w:rsidR="00437053" w:rsidRPr="00920D06" w:rsidRDefault="00437053" w:rsidP="00920D0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920D06">
        <w:rPr>
          <w:rFonts w:asciiTheme="minorHAnsi" w:hAnsiTheme="minorHAnsi" w:cstheme="minorHAnsi"/>
          <w:sz w:val="24"/>
          <w:szCs w:val="24"/>
          <w:lang w:val="en-US"/>
        </w:rPr>
        <w:t xml:space="preserve">1 </w:t>
      </w:r>
      <w:r w:rsidRPr="00920D06">
        <w:rPr>
          <w:rFonts w:asciiTheme="minorHAnsi" w:hAnsiTheme="minorHAnsi" w:cstheme="minorHAnsi"/>
          <w:sz w:val="24"/>
          <w:szCs w:val="24"/>
        </w:rPr>
        <w:t xml:space="preserve">Chapple ILC, Van der Weijden F, Doerfer C, et al. Primary prevention of periodontitis: managing gingivitis. </w:t>
      </w:r>
      <w:r w:rsidRPr="00920D06">
        <w:rPr>
          <w:rFonts w:asciiTheme="minorHAnsi" w:hAnsiTheme="minorHAnsi" w:cstheme="minorHAnsi"/>
          <w:i/>
          <w:iCs/>
          <w:sz w:val="24"/>
          <w:szCs w:val="24"/>
        </w:rPr>
        <w:t>J Clin Periodontol</w:t>
      </w:r>
      <w:r w:rsidRPr="00920D06">
        <w:rPr>
          <w:rFonts w:asciiTheme="minorHAnsi" w:hAnsiTheme="minorHAnsi" w:cstheme="minorHAnsi"/>
          <w:sz w:val="24"/>
          <w:szCs w:val="24"/>
        </w:rPr>
        <w:t>. 2015;42 (Suppl. 16</w:t>
      </w:r>
      <w:proofErr w:type="gramStart"/>
      <w:r w:rsidRPr="00920D06">
        <w:rPr>
          <w:rFonts w:asciiTheme="minorHAnsi" w:hAnsiTheme="minorHAnsi" w:cstheme="minorHAnsi"/>
          <w:sz w:val="24"/>
          <w:szCs w:val="24"/>
        </w:rPr>
        <w:t>):S</w:t>
      </w:r>
      <w:proofErr w:type="gramEnd"/>
      <w:r w:rsidRPr="00920D06">
        <w:rPr>
          <w:rFonts w:asciiTheme="minorHAnsi" w:hAnsiTheme="minorHAnsi" w:cstheme="minorHAnsi"/>
          <w:sz w:val="24"/>
          <w:szCs w:val="24"/>
        </w:rPr>
        <w:t>71-S76. https://doi.org/10.1111/jcpe.12366</w:t>
      </w:r>
    </w:p>
    <w:p w14:paraId="56AB7DCB" w14:textId="77777777" w:rsidR="00F36AB1" w:rsidRDefault="00F36AB1" w:rsidP="00F36AB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2 </w:t>
      </w:r>
      <w:r w:rsidRPr="00917276">
        <w:rPr>
          <w:rFonts w:asciiTheme="minorHAnsi" w:hAnsiTheme="minorHAnsi" w:cstheme="minorHAnsi"/>
          <w:sz w:val="24"/>
          <w:szCs w:val="24"/>
        </w:rPr>
        <w:t>Kumar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P,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Das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SJ,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SonowalST,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ChawlaJ.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Comparison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of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Root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Surface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Roughness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Produced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By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Hand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Instruments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and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Ultrasonic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>Scalers: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17276">
        <w:rPr>
          <w:rFonts w:asciiTheme="minorHAnsi" w:hAnsiTheme="minorHAnsi" w:cstheme="minorHAnsi"/>
          <w:sz w:val="24"/>
          <w:szCs w:val="24"/>
        </w:rPr>
        <w:t xml:space="preserve">An In vitro Study. </w:t>
      </w:r>
      <w:r w:rsidRPr="00917276">
        <w:rPr>
          <w:rFonts w:asciiTheme="minorHAnsi" w:hAnsiTheme="minorHAnsi" w:cstheme="minorHAnsi"/>
          <w:i/>
          <w:iCs/>
          <w:sz w:val="24"/>
          <w:szCs w:val="24"/>
        </w:rPr>
        <w:t>J Clin Diagn Res</w:t>
      </w:r>
      <w:r w:rsidRPr="00917276">
        <w:rPr>
          <w:rFonts w:asciiTheme="minorHAnsi" w:hAnsiTheme="minorHAnsi" w:cstheme="minorHAnsi"/>
          <w:sz w:val="24"/>
          <w:szCs w:val="24"/>
        </w:rPr>
        <w:t>. 2015;9(11</w:t>
      </w:r>
      <w:proofErr w:type="gramStart"/>
      <w:r w:rsidRPr="00917276">
        <w:rPr>
          <w:rFonts w:asciiTheme="minorHAnsi" w:hAnsiTheme="minorHAnsi" w:cstheme="minorHAnsi"/>
          <w:sz w:val="24"/>
          <w:szCs w:val="24"/>
        </w:rPr>
        <w:t>):ZC</w:t>
      </w:r>
      <w:proofErr w:type="gramEnd"/>
      <w:r w:rsidRPr="00917276">
        <w:rPr>
          <w:rFonts w:asciiTheme="minorHAnsi" w:hAnsiTheme="minorHAnsi" w:cstheme="minorHAnsi"/>
          <w:sz w:val="24"/>
          <w:szCs w:val="24"/>
        </w:rPr>
        <w:t>56-ZC60.https://doi.org/10.7860/JCDR/2015/13744.6828</w:t>
      </w:r>
    </w:p>
    <w:p w14:paraId="68FD20F6" w14:textId="53DA9E2B" w:rsidR="00343B89" w:rsidRDefault="00F36AB1" w:rsidP="00920D0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</w:t>
      </w:r>
      <w:r w:rsidR="00B306FC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Müller N, Moëne R, Cancela JA, Mombelli A. Subgingival airpolishing with erythritol during periodontal</w:t>
      </w:r>
      <w:r w:rsidR="00B306FC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maintenance:</w:t>
      </w:r>
      <w:r w:rsidR="00B306FC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 xml:space="preserve">randomized clinical trial of twelve months. </w:t>
      </w:r>
      <w:r w:rsidR="00B306FC" w:rsidRPr="00B306FC">
        <w:rPr>
          <w:rFonts w:asciiTheme="minorHAnsi" w:hAnsiTheme="minorHAnsi" w:cstheme="minorHAnsi"/>
          <w:i/>
          <w:iCs/>
          <w:sz w:val="24"/>
          <w:szCs w:val="24"/>
        </w:rPr>
        <w:t>J Clin Periodontol</w:t>
      </w:r>
      <w:r w:rsidR="00B306FC" w:rsidRPr="00B306FC">
        <w:rPr>
          <w:rFonts w:asciiTheme="minorHAnsi" w:hAnsiTheme="minorHAnsi" w:cstheme="minorHAnsi"/>
          <w:sz w:val="24"/>
          <w:szCs w:val="24"/>
        </w:rPr>
        <w:t>.</w:t>
      </w:r>
      <w:r w:rsidR="00B306FC" w:rsidRPr="00B306FC">
        <w:rPr>
          <w:rFonts w:asciiTheme="minorHAnsi" w:hAnsiTheme="minorHAnsi" w:cstheme="minorHAnsi"/>
          <w:sz w:val="24"/>
          <w:szCs w:val="24"/>
        </w:rPr>
        <w:br/>
        <w:t xml:space="preserve">2014;41(9):883-889. </w:t>
      </w:r>
      <w:hyperlink r:id="rId9" w:history="1">
        <w:r w:rsidR="00B306FC" w:rsidRPr="00293AFF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https://doi.org/10.1111/jcpe.12289</w:t>
        </w:r>
      </w:hyperlink>
    </w:p>
    <w:p w14:paraId="0280B573" w14:textId="77777777" w:rsidR="00F36AB1" w:rsidRPr="00B306FC" w:rsidRDefault="00F36AB1" w:rsidP="00F36AB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 </w:t>
      </w:r>
      <w:r w:rsidRPr="00056810">
        <w:rPr>
          <w:rFonts w:asciiTheme="minorHAnsi" w:hAnsiTheme="minorHAnsi" w:cstheme="minorHAnsi"/>
          <w:sz w:val="24"/>
          <w:szCs w:val="24"/>
        </w:rPr>
        <w:t>Mensi M, Scotti E, Sordillo A, Agosti R, Calza S. Plaque disclosing</w:t>
      </w:r>
      <w:r w:rsidRPr="00056810">
        <w:rPr>
          <w:rFonts w:asciiTheme="minorHAnsi" w:hAnsiTheme="minorHAnsi" w:cstheme="minorHAnsi"/>
          <w:sz w:val="24"/>
          <w:szCs w:val="24"/>
        </w:rPr>
        <w:br/>
        <w:t>agent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as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guide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for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professional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biofilm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removal: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>randomized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56810">
        <w:rPr>
          <w:rFonts w:asciiTheme="minorHAnsi" w:hAnsiTheme="minorHAnsi" w:cstheme="minorHAnsi"/>
          <w:sz w:val="24"/>
          <w:szCs w:val="24"/>
        </w:rPr>
        <w:t xml:space="preserve">controlled clinical trial. </w:t>
      </w:r>
      <w:r w:rsidRPr="00056810">
        <w:rPr>
          <w:rFonts w:asciiTheme="minorHAnsi" w:hAnsiTheme="minorHAnsi" w:cstheme="minorHAnsi"/>
          <w:i/>
          <w:iCs/>
          <w:sz w:val="24"/>
          <w:szCs w:val="24"/>
        </w:rPr>
        <w:t>Int J Dent Hyg</w:t>
      </w:r>
      <w:r w:rsidRPr="00056810">
        <w:rPr>
          <w:rFonts w:asciiTheme="minorHAnsi" w:hAnsiTheme="minorHAnsi" w:cstheme="minorHAnsi"/>
          <w:sz w:val="24"/>
          <w:szCs w:val="24"/>
        </w:rPr>
        <w:t>. 2020;18(3):285-294.https://doi.org/10.1111/idh.12442</w:t>
      </w:r>
    </w:p>
    <w:p w14:paraId="61952966" w14:textId="5AE42125" w:rsidR="00B306FC" w:rsidRDefault="00F36AB1" w:rsidP="00920D0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Smith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RN,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Rawlinson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A,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Lath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D,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Elcock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C,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Walsh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TF,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Brook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>AH.</w:t>
      </w:r>
      <w:r w:rsidR="00917276">
        <w:rPr>
          <w:rFonts w:asciiTheme="minorHAnsi" w:hAnsiTheme="minorHAnsi" w:cstheme="minorHAnsi"/>
          <w:sz w:val="24"/>
          <w:szCs w:val="24"/>
        </w:rPr>
        <w:t xml:space="preserve"> </w:t>
      </w:r>
      <w:r w:rsidR="00B306FC" w:rsidRPr="00B306FC">
        <w:rPr>
          <w:rFonts w:asciiTheme="minorHAnsi" w:hAnsiTheme="minorHAnsi" w:cstheme="minorHAnsi"/>
          <w:sz w:val="24"/>
          <w:szCs w:val="24"/>
        </w:rPr>
        <w:t xml:space="preserve">Quantification of dental plaque on lingual toothsurfacesusingimageanalysis: reliability and validation. </w:t>
      </w:r>
      <w:r w:rsidR="00B306FC" w:rsidRPr="00B306FC">
        <w:rPr>
          <w:rFonts w:asciiTheme="minorHAnsi" w:hAnsiTheme="minorHAnsi" w:cstheme="minorHAnsi"/>
          <w:i/>
          <w:iCs/>
          <w:sz w:val="24"/>
          <w:szCs w:val="24"/>
        </w:rPr>
        <w:t>J Clin Periodontol</w:t>
      </w:r>
      <w:r w:rsidR="00B306FC" w:rsidRPr="00B306FC">
        <w:rPr>
          <w:rFonts w:asciiTheme="minorHAnsi" w:hAnsiTheme="minorHAnsi" w:cstheme="minorHAnsi"/>
          <w:sz w:val="24"/>
          <w:szCs w:val="24"/>
        </w:rPr>
        <w:t xml:space="preserve">. 2004;31(7):569-573. </w:t>
      </w:r>
      <w:hyperlink r:id="rId10" w:history="1">
        <w:r w:rsidR="00917276" w:rsidRPr="00293AFF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https://doi.org/10.1111/j.1600-051X.2004.00523.x</w:t>
        </w:r>
      </w:hyperlink>
    </w:p>
    <w:p w14:paraId="0C05B448" w14:textId="0BEF84CF" w:rsidR="00F36AB1" w:rsidRDefault="00F36AB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EC6ADDF" w14:textId="27093874" w:rsidR="003273C1" w:rsidRDefault="003273C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C7781C" w14:textId="4803801F" w:rsidR="003273C1" w:rsidRDefault="003273C1">
      <w:pPr>
        <w:spacing w:line="36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3273C1">
        <w:rPr>
          <w:rFonts w:asciiTheme="minorHAnsi" w:hAnsiTheme="minorHAnsi" w:cstheme="minorHAnsi"/>
          <w:b/>
          <w:bCs/>
          <w:sz w:val="24"/>
          <w:szCs w:val="24"/>
        </w:rPr>
        <w:t>Biography</w:t>
      </w:r>
    </w:p>
    <w:p w14:paraId="495709AA" w14:textId="03FD3532" w:rsidR="00C549D6" w:rsidRDefault="00C549D6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549D6">
        <w:rPr>
          <w:rFonts w:asciiTheme="minorHAnsi" w:hAnsiTheme="minorHAnsi" w:cstheme="minorHAnsi"/>
          <w:sz w:val="24"/>
          <w:szCs w:val="24"/>
        </w:rPr>
        <w:t>Matteo Dalè</w:t>
      </w:r>
      <w:r>
        <w:rPr>
          <w:rFonts w:asciiTheme="minorHAnsi" w:hAnsiTheme="minorHAnsi" w:cstheme="minorHAnsi"/>
          <w:sz w:val="24"/>
          <w:szCs w:val="24"/>
        </w:rPr>
        <w:t xml:space="preserve"> is a dentist who collaborates with </w:t>
      </w:r>
      <w:r w:rsidR="00C42E2D">
        <w:rPr>
          <w:rFonts w:asciiTheme="minorHAnsi" w:hAnsiTheme="minorHAnsi" w:cstheme="minorHAnsi"/>
          <w:sz w:val="24"/>
          <w:szCs w:val="24"/>
        </w:rPr>
        <w:t>Dr. Magda Mensi in Section of periodontics, School of Dentistry in University of Brescia. F</w:t>
      </w:r>
      <w:r w:rsidR="00C42E2D" w:rsidRPr="00C42E2D">
        <w:rPr>
          <w:rFonts w:asciiTheme="minorHAnsi" w:hAnsiTheme="minorHAnsi" w:cstheme="minorHAnsi"/>
          <w:sz w:val="24"/>
          <w:szCs w:val="24"/>
        </w:rPr>
        <w:t>rom the beginning he finalized his studies in the use of the GBT method, applied both in professional field and for research studies</w:t>
      </w:r>
      <w:r w:rsidR="00793554">
        <w:rPr>
          <w:rFonts w:asciiTheme="minorHAnsi" w:hAnsiTheme="minorHAnsi" w:cstheme="minorHAnsi"/>
          <w:sz w:val="24"/>
          <w:szCs w:val="24"/>
        </w:rPr>
        <w:t>.</w:t>
      </w:r>
    </w:p>
    <w:p w14:paraId="23EE6B39" w14:textId="0C943C0F" w:rsidR="00793554" w:rsidRDefault="0079355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DD0B077" w14:textId="3A0E94BB" w:rsidR="00793554" w:rsidRDefault="0079355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C6C990E" w14:textId="4D38A718" w:rsidR="00793554" w:rsidRDefault="0079355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6F2AF9" w14:textId="58EC0F08" w:rsidR="00793554" w:rsidRPr="00C549D6" w:rsidRDefault="0079355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Email: matteo.dale1993@gmail.com</w:t>
      </w:r>
    </w:p>
    <w:sectPr w:rsidR="00793554" w:rsidRPr="00C549D6" w:rsidSect="00437053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-Regular">
    <w:altName w:val="Lato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005A4"/>
    <w:multiLevelType w:val="hybridMultilevel"/>
    <w:tmpl w:val="40380F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D75"/>
    <w:rsid w:val="00055835"/>
    <w:rsid w:val="00056810"/>
    <w:rsid w:val="000F4769"/>
    <w:rsid w:val="00142AA6"/>
    <w:rsid w:val="001530EA"/>
    <w:rsid w:val="00211CD8"/>
    <w:rsid w:val="002124B1"/>
    <w:rsid w:val="002311A6"/>
    <w:rsid w:val="00244034"/>
    <w:rsid w:val="00256AE9"/>
    <w:rsid w:val="00280937"/>
    <w:rsid w:val="002D1AE0"/>
    <w:rsid w:val="00323E19"/>
    <w:rsid w:val="003273C1"/>
    <w:rsid w:val="00343B89"/>
    <w:rsid w:val="00351AAD"/>
    <w:rsid w:val="003534B5"/>
    <w:rsid w:val="003A0945"/>
    <w:rsid w:val="00437053"/>
    <w:rsid w:val="0048350A"/>
    <w:rsid w:val="004A369C"/>
    <w:rsid w:val="00546F38"/>
    <w:rsid w:val="00554E2F"/>
    <w:rsid w:val="00605BCD"/>
    <w:rsid w:val="006C67D4"/>
    <w:rsid w:val="006E2A85"/>
    <w:rsid w:val="00743380"/>
    <w:rsid w:val="00793554"/>
    <w:rsid w:val="007B3BD7"/>
    <w:rsid w:val="007D6B8E"/>
    <w:rsid w:val="00917276"/>
    <w:rsid w:val="00920D06"/>
    <w:rsid w:val="00A342FE"/>
    <w:rsid w:val="00A546E4"/>
    <w:rsid w:val="00AA6043"/>
    <w:rsid w:val="00AB631C"/>
    <w:rsid w:val="00B04664"/>
    <w:rsid w:val="00B306FC"/>
    <w:rsid w:val="00B42DC2"/>
    <w:rsid w:val="00B76CD1"/>
    <w:rsid w:val="00C34D75"/>
    <w:rsid w:val="00C42E2D"/>
    <w:rsid w:val="00C53FB0"/>
    <w:rsid w:val="00C549D6"/>
    <w:rsid w:val="00CD0889"/>
    <w:rsid w:val="00CE0B5D"/>
    <w:rsid w:val="00CF6B11"/>
    <w:rsid w:val="00D01C08"/>
    <w:rsid w:val="00E148E8"/>
    <w:rsid w:val="00E73562"/>
    <w:rsid w:val="00F20DEE"/>
    <w:rsid w:val="00F25D21"/>
    <w:rsid w:val="00F3595D"/>
    <w:rsid w:val="00F36AB1"/>
    <w:rsid w:val="00FC50A1"/>
    <w:rsid w:val="00FF4E3E"/>
    <w:rsid w:val="00FF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90F0"/>
  <w15:chartTrackingRefBased/>
  <w15:docId w15:val="{D62A0908-5FBD-4CD0-BEA6-5D7BFE8A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1A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30EA"/>
    <w:pPr>
      <w:ind w:left="720"/>
      <w:contextualSpacing/>
    </w:pPr>
  </w:style>
  <w:style w:type="character" w:customStyle="1" w:styleId="fontstyle01">
    <w:name w:val="fontstyle01"/>
    <w:basedOn w:val="Carpredefinitoparagrafo"/>
    <w:rsid w:val="00343B89"/>
    <w:rPr>
      <w:rFonts w:ascii="Lato-Regular" w:hAnsi="Lato-Regular" w:hint="default"/>
      <w:b w:val="0"/>
      <w:bCs w:val="0"/>
      <w:i w:val="0"/>
      <w:iCs w:val="0"/>
      <w:color w:val="242021"/>
      <w:sz w:val="14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B306F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0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0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doi.org/10.1111/j.1600-051X.2004.00523.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jcpe.1228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1842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Dalè</dc:creator>
  <cp:keywords/>
  <dc:description/>
  <cp:lastModifiedBy>Matteo Dalè</cp:lastModifiedBy>
  <cp:revision>16</cp:revision>
  <dcterms:created xsi:type="dcterms:W3CDTF">2017-08-18T09:21:00Z</dcterms:created>
  <dcterms:modified xsi:type="dcterms:W3CDTF">2021-09-22T21:32:00Z</dcterms:modified>
</cp:coreProperties>
</file>