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24ECF" w14:textId="111EB508" w:rsidR="00E411E1" w:rsidRPr="00634C95" w:rsidRDefault="00E411E1" w:rsidP="00E411E1">
      <w:pPr>
        <w:spacing w:line="480" w:lineRule="auto"/>
        <w:rPr>
          <w:color w:val="000000" w:themeColor="text1"/>
          <w:lang w:val="en-US"/>
        </w:rPr>
      </w:pPr>
      <w:r w:rsidRPr="00634C95">
        <w:rPr>
          <w:color w:val="000000" w:themeColor="text1"/>
          <w:lang w:val="en-US"/>
        </w:rPr>
        <w:t>Intravitreal Anti‐Vascular Endothelial Growth Factor Injection versus Laser Therapy for the Management of Retinopathy of Prematurity</w:t>
      </w:r>
    </w:p>
    <w:p w14:paraId="53D650B0" w14:textId="77777777" w:rsidR="00E411E1" w:rsidRPr="00DE58C3" w:rsidRDefault="00E411E1" w:rsidP="00E411E1">
      <w:pPr>
        <w:spacing w:line="480" w:lineRule="auto"/>
        <w:rPr>
          <w:color w:val="000000" w:themeColor="text1"/>
          <w:vertAlign w:val="superscript"/>
          <w:lang w:val="en-US"/>
        </w:rPr>
      </w:pPr>
      <w:r w:rsidRPr="00634C95">
        <w:rPr>
          <w:color w:val="000000" w:themeColor="text1"/>
          <w:lang w:val="en-US"/>
        </w:rPr>
        <w:t>Nada</w:t>
      </w:r>
      <w:r>
        <w:rPr>
          <w:color w:val="000000" w:themeColor="text1"/>
          <w:lang w:val="en-US"/>
        </w:rPr>
        <w:t xml:space="preserve"> </w:t>
      </w:r>
      <w:r w:rsidRPr="00634C95">
        <w:rPr>
          <w:color w:val="000000" w:themeColor="text1"/>
          <w:lang w:val="en-US"/>
        </w:rPr>
        <w:t>Taher</w:t>
      </w:r>
      <w:r>
        <w:rPr>
          <w:color w:val="000000" w:themeColor="text1"/>
          <w:lang w:val="en-US"/>
        </w:rPr>
        <w:t>*</w:t>
      </w:r>
      <w:r w:rsidRPr="00634C95">
        <w:rPr>
          <w:color w:val="000000" w:themeColor="text1"/>
          <w:lang w:val="en-US"/>
        </w:rPr>
        <w:t>,</w:t>
      </w:r>
      <w:r w:rsidRPr="00634C95">
        <w:rPr>
          <w:color w:val="000000" w:themeColor="text1"/>
          <w:vertAlign w:val="superscript"/>
          <w:lang w:val="en-US"/>
        </w:rPr>
        <w:t>1,2</w:t>
      </w:r>
      <w:r w:rsidRPr="00634C95">
        <w:rPr>
          <w:color w:val="000000" w:themeColor="text1"/>
          <w:lang w:val="en-US"/>
        </w:rPr>
        <w:t xml:space="preserve"> Abdullah </w:t>
      </w:r>
      <w:r w:rsidRPr="00DE58C3">
        <w:rPr>
          <w:color w:val="000000" w:themeColor="text1"/>
          <w:lang w:val="en-US"/>
        </w:rPr>
        <w:t xml:space="preserve">A </w:t>
      </w:r>
      <w:r w:rsidRPr="00634C95">
        <w:rPr>
          <w:color w:val="000000" w:themeColor="text1"/>
          <w:lang w:val="en-US"/>
        </w:rPr>
        <w:t>Ghaddaf</w:t>
      </w:r>
      <w:r w:rsidRPr="00DE58C3">
        <w:rPr>
          <w:color w:val="000000" w:themeColor="text1"/>
          <w:lang w:val="en-US"/>
        </w:rPr>
        <w:t>,</w:t>
      </w:r>
      <w:r w:rsidRPr="00DE58C3">
        <w:rPr>
          <w:color w:val="000000" w:themeColor="text1"/>
          <w:vertAlign w:val="superscript"/>
          <w:lang w:val="en-US"/>
        </w:rPr>
        <w:t>1,2</w:t>
      </w:r>
      <w:r w:rsidRPr="00DE58C3">
        <w:rPr>
          <w:color w:val="000000" w:themeColor="text1"/>
          <w:lang w:val="en-US"/>
        </w:rPr>
        <w:t xml:space="preserve"> </w:t>
      </w:r>
      <w:r w:rsidRPr="00634C95">
        <w:rPr>
          <w:color w:val="000000" w:themeColor="text1"/>
          <w:lang w:val="en-US"/>
        </w:rPr>
        <w:t>Sarah Al-</w:t>
      </w:r>
      <w:proofErr w:type="spellStart"/>
      <w:r w:rsidRPr="00634C95">
        <w:rPr>
          <w:color w:val="000000" w:themeColor="text1"/>
          <w:lang w:val="en-US"/>
        </w:rPr>
        <w:t>Ghamdi</w:t>
      </w:r>
      <w:proofErr w:type="spellEnd"/>
      <w:r>
        <w:rPr>
          <w:color w:val="000000" w:themeColor="text1"/>
          <w:lang w:val="en-US"/>
        </w:rPr>
        <w:t>, MD</w:t>
      </w:r>
      <w:r w:rsidRPr="00DE58C3">
        <w:rPr>
          <w:color w:val="000000" w:themeColor="text1"/>
          <w:lang w:val="en-US"/>
        </w:rPr>
        <w:t>,</w:t>
      </w:r>
      <w:r w:rsidRPr="00DE58C3">
        <w:rPr>
          <w:color w:val="000000" w:themeColor="text1"/>
          <w:vertAlign w:val="superscript"/>
          <w:lang w:val="en-US"/>
        </w:rPr>
        <w:t>3</w:t>
      </w:r>
      <w:r w:rsidRPr="00DE58C3">
        <w:rPr>
          <w:color w:val="000000" w:themeColor="text1"/>
          <w:lang w:val="en-US"/>
        </w:rPr>
        <w:t xml:space="preserve"> </w:t>
      </w:r>
      <w:proofErr w:type="spellStart"/>
      <w:r w:rsidRPr="00634C95">
        <w:rPr>
          <w:color w:val="000000" w:themeColor="text1"/>
          <w:lang w:val="en-US"/>
        </w:rPr>
        <w:t>Jumana</w:t>
      </w:r>
      <w:r w:rsidRPr="00DE58C3">
        <w:rPr>
          <w:color w:val="000000" w:themeColor="text1"/>
          <w:lang w:val="en-US"/>
        </w:rPr>
        <w:t>h</w:t>
      </w:r>
      <w:proofErr w:type="spellEnd"/>
      <w:r w:rsidRPr="00634C95">
        <w:rPr>
          <w:color w:val="000000" w:themeColor="text1"/>
          <w:lang w:val="en-US"/>
        </w:rPr>
        <w:t xml:space="preserve"> </w:t>
      </w:r>
      <w:proofErr w:type="spellStart"/>
      <w:r w:rsidRPr="00634C95">
        <w:rPr>
          <w:color w:val="000000" w:themeColor="text1"/>
          <w:lang w:val="en-US"/>
        </w:rPr>
        <w:t>Homsi</w:t>
      </w:r>
      <w:proofErr w:type="spellEnd"/>
      <w:r>
        <w:rPr>
          <w:color w:val="000000" w:themeColor="text1"/>
          <w:lang w:val="en-US"/>
        </w:rPr>
        <w:t>, MD</w:t>
      </w:r>
      <w:r w:rsidRPr="00DE58C3">
        <w:rPr>
          <w:color w:val="000000" w:themeColor="text1"/>
          <w:lang w:val="en-US"/>
        </w:rPr>
        <w:t>,</w:t>
      </w:r>
      <w:r w:rsidRPr="00DE58C3">
        <w:rPr>
          <w:color w:val="000000" w:themeColor="text1"/>
          <w:vertAlign w:val="superscript"/>
          <w:lang w:val="en-US"/>
        </w:rPr>
        <w:t>3</w:t>
      </w:r>
      <w:r w:rsidRPr="00DE58C3">
        <w:rPr>
          <w:color w:val="000000" w:themeColor="text1"/>
          <w:lang w:val="en-US"/>
        </w:rPr>
        <w:t xml:space="preserve"> </w:t>
      </w:r>
      <w:r w:rsidRPr="00634C95">
        <w:rPr>
          <w:color w:val="000000" w:themeColor="text1"/>
          <w:lang w:val="en-US"/>
        </w:rPr>
        <w:t>Band</w:t>
      </w:r>
      <w:r w:rsidRPr="00DE58C3">
        <w:rPr>
          <w:color w:val="000000" w:themeColor="text1"/>
          <w:lang w:val="en-US"/>
        </w:rPr>
        <w:t>a</w:t>
      </w:r>
      <w:r w:rsidRPr="00634C95">
        <w:rPr>
          <w:color w:val="000000" w:themeColor="text1"/>
          <w:lang w:val="en-US"/>
        </w:rPr>
        <w:t>r A</w:t>
      </w:r>
      <w:r w:rsidRPr="00DE58C3">
        <w:rPr>
          <w:color w:val="000000" w:themeColor="text1"/>
          <w:lang w:val="en-US"/>
        </w:rPr>
        <w:t>l</w:t>
      </w:r>
      <w:r w:rsidRPr="00634C95">
        <w:rPr>
          <w:color w:val="000000" w:themeColor="text1"/>
          <w:lang w:val="en-US"/>
        </w:rPr>
        <w:t>-Harbi</w:t>
      </w:r>
      <w:r>
        <w:rPr>
          <w:color w:val="000000" w:themeColor="text1"/>
          <w:lang w:val="en-US"/>
        </w:rPr>
        <w:t>, MD</w:t>
      </w:r>
      <w:r w:rsidRPr="00DE58C3">
        <w:rPr>
          <w:color w:val="000000" w:themeColor="text1"/>
          <w:lang w:val="en-US"/>
        </w:rPr>
        <w:t>,</w:t>
      </w:r>
      <w:r w:rsidRPr="00DE58C3">
        <w:rPr>
          <w:color w:val="000000" w:themeColor="text1"/>
          <w:vertAlign w:val="superscript"/>
          <w:lang w:val="en-US"/>
        </w:rPr>
        <w:t>3</w:t>
      </w:r>
      <w:r w:rsidRPr="00DE58C3">
        <w:rPr>
          <w:color w:val="000000" w:themeColor="text1"/>
          <w:lang w:val="en-US"/>
        </w:rPr>
        <w:t xml:space="preserve"> </w:t>
      </w:r>
      <w:proofErr w:type="spellStart"/>
      <w:r w:rsidRPr="00634C95">
        <w:rPr>
          <w:color w:val="000000" w:themeColor="text1"/>
          <w:lang w:val="en-US"/>
        </w:rPr>
        <w:t>Lugean</w:t>
      </w:r>
      <w:proofErr w:type="spellEnd"/>
      <w:r w:rsidRPr="00634C95">
        <w:rPr>
          <w:color w:val="000000" w:themeColor="text1"/>
          <w:lang w:val="en-US"/>
        </w:rPr>
        <w:t xml:space="preserve"> Alomari</w:t>
      </w:r>
      <w:r w:rsidRPr="00DE58C3">
        <w:rPr>
          <w:color w:val="000000" w:themeColor="text1"/>
          <w:lang w:val="en-US"/>
        </w:rPr>
        <w:t>,</w:t>
      </w:r>
      <w:r w:rsidRPr="00DE58C3">
        <w:rPr>
          <w:color w:val="000000" w:themeColor="text1"/>
          <w:vertAlign w:val="superscript"/>
          <w:lang w:val="en-US"/>
        </w:rPr>
        <w:t>1,2</w:t>
      </w:r>
      <w:r w:rsidRPr="00DE58C3">
        <w:rPr>
          <w:color w:val="000000" w:themeColor="text1"/>
          <w:lang w:val="en-US"/>
        </w:rPr>
        <w:t xml:space="preserve"> </w:t>
      </w:r>
      <w:r w:rsidRPr="00634C95">
        <w:rPr>
          <w:color w:val="000000" w:themeColor="text1"/>
          <w:lang w:val="en-US"/>
        </w:rPr>
        <w:t>Hashem Al-Marzouki</w:t>
      </w:r>
      <w:r w:rsidRPr="00DE58C3">
        <w:rPr>
          <w:color w:val="000000" w:themeColor="text1"/>
          <w:lang w:val="en-US"/>
        </w:rPr>
        <w:t>, MD</w:t>
      </w:r>
      <w:r w:rsidRPr="00DE58C3">
        <w:rPr>
          <w:color w:val="000000" w:themeColor="text1"/>
          <w:vertAlign w:val="superscript"/>
          <w:lang w:val="en-US"/>
        </w:rPr>
        <w:t>1-2,4</w:t>
      </w:r>
    </w:p>
    <w:p w14:paraId="5FE24295" w14:textId="0D691BE3" w:rsidR="00E411E1" w:rsidRPr="00634C95" w:rsidRDefault="00E411E1" w:rsidP="00E411E1">
      <w:pPr>
        <w:spacing w:line="480" w:lineRule="auto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Affiliations: </w:t>
      </w:r>
    </w:p>
    <w:p w14:paraId="06213562" w14:textId="77777777" w:rsidR="00E411E1" w:rsidRPr="00634C95" w:rsidRDefault="00E411E1" w:rsidP="00E411E1">
      <w:pPr>
        <w:spacing w:line="480" w:lineRule="auto"/>
        <w:rPr>
          <w:color w:val="000000" w:themeColor="text1"/>
          <w:lang w:val="en-US"/>
        </w:rPr>
      </w:pPr>
      <w:r w:rsidRPr="00634C95">
        <w:rPr>
          <w:color w:val="000000" w:themeColor="text1"/>
          <w:vertAlign w:val="superscript"/>
          <w:lang w:val="en-US"/>
        </w:rPr>
        <w:t>1</w:t>
      </w:r>
      <w:r w:rsidRPr="00634C95">
        <w:rPr>
          <w:color w:val="000000" w:themeColor="text1"/>
          <w:lang w:val="en-US"/>
        </w:rPr>
        <w:t xml:space="preserve"> College of Medicine, King Saud bin </w:t>
      </w:r>
      <w:proofErr w:type="spellStart"/>
      <w:r w:rsidRPr="00634C95">
        <w:rPr>
          <w:color w:val="000000" w:themeColor="text1"/>
          <w:lang w:val="en-US"/>
        </w:rPr>
        <w:t>Abdulaziz</w:t>
      </w:r>
      <w:proofErr w:type="spellEnd"/>
      <w:r w:rsidRPr="00634C95">
        <w:rPr>
          <w:color w:val="000000" w:themeColor="text1"/>
          <w:lang w:val="en-US"/>
        </w:rPr>
        <w:t xml:space="preserve"> University for Health Sciences, Jeddah, Saudi Arabia</w:t>
      </w:r>
    </w:p>
    <w:p w14:paraId="4309AF9E" w14:textId="77777777" w:rsidR="00E411E1" w:rsidRPr="00634C95" w:rsidRDefault="00E411E1" w:rsidP="00E411E1">
      <w:pPr>
        <w:spacing w:line="480" w:lineRule="auto"/>
        <w:rPr>
          <w:color w:val="000000" w:themeColor="text1"/>
          <w:lang w:val="en-US"/>
        </w:rPr>
      </w:pPr>
      <w:r w:rsidRPr="00634C95">
        <w:rPr>
          <w:color w:val="000000" w:themeColor="text1"/>
          <w:vertAlign w:val="superscript"/>
          <w:lang w:val="en-US"/>
        </w:rPr>
        <w:t>2</w:t>
      </w:r>
      <w:r w:rsidRPr="00634C95">
        <w:rPr>
          <w:color w:val="000000" w:themeColor="text1"/>
          <w:lang w:val="en-US"/>
        </w:rPr>
        <w:t xml:space="preserve"> King Abdullah International Medical Research Center, Jeddah, Saudi Arabia</w:t>
      </w:r>
    </w:p>
    <w:p w14:paraId="65A31105" w14:textId="77777777" w:rsidR="00E411E1" w:rsidRPr="00634C95" w:rsidRDefault="00E411E1" w:rsidP="00E411E1">
      <w:pPr>
        <w:spacing w:line="480" w:lineRule="auto"/>
        <w:rPr>
          <w:color w:val="000000" w:themeColor="text1"/>
          <w:lang w:val="en-US"/>
        </w:rPr>
      </w:pPr>
      <w:r w:rsidRPr="00634C95">
        <w:rPr>
          <w:color w:val="000000" w:themeColor="text1"/>
          <w:vertAlign w:val="superscript"/>
          <w:lang w:val="en-US"/>
        </w:rPr>
        <w:t>3</w:t>
      </w:r>
      <w:r w:rsidRPr="00634C95">
        <w:rPr>
          <w:color w:val="000000" w:themeColor="text1"/>
          <w:lang w:val="en-US"/>
        </w:rPr>
        <w:t xml:space="preserve"> Ophthalmology Western Region Program, Jeddah, Saudi Arabia</w:t>
      </w:r>
    </w:p>
    <w:p w14:paraId="7332F535" w14:textId="4706AA31" w:rsidR="00E411E1" w:rsidRPr="008D466A" w:rsidRDefault="00E411E1" w:rsidP="008D466A">
      <w:pPr>
        <w:spacing w:line="480" w:lineRule="auto"/>
        <w:rPr>
          <w:color w:val="000000" w:themeColor="text1"/>
          <w:lang w:val="en-US"/>
        </w:rPr>
      </w:pPr>
      <w:r w:rsidRPr="00634C95">
        <w:rPr>
          <w:color w:val="000000" w:themeColor="text1"/>
          <w:vertAlign w:val="superscript"/>
          <w:lang w:val="en-US"/>
        </w:rPr>
        <w:t xml:space="preserve">4 </w:t>
      </w:r>
      <w:r w:rsidRPr="00634C95">
        <w:rPr>
          <w:color w:val="000000" w:themeColor="text1"/>
          <w:lang w:val="en-US"/>
        </w:rPr>
        <w:t xml:space="preserve">Department of Ophthalmology, King </w:t>
      </w:r>
      <w:proofErr w:type="spellStart"/>
      <w:r w:rsidRPr="00634C95">
        <w:rPr>
          <w:color w:val="000000" w:themeColor="text1"/>
          <w:lang w:val="en-US"/>
        </w:rPr>
        <w:t>Abdulaziz</w:t>
      </w:r>
      <w:proofErr w:type="spellEnd"/>
      <w:r w:rsidRPr="00634C95">
        <w:rPr>
          <w:color w:val="000000" w:themeColor="text1"/>
          <w:lang w:val="en-US"/>
        </w:rPr>
        <w:t xml:space="preserve"> Medical City, Jeddah, Saudi Arabia</w:t>
      </w:r>
    </w:p>
    <w:p w14:paraId="74230768" w14:textId="77777777" w:rsidR="008D466A" w:rsidRDefault="008D466A" w:rsidP="00E411E1">
      <w:pPr>
        <w:spacing w:line="480" w:lineRule="auto"/>
        <w:rPr>
          <w:b/>
          <w:bCs/>
          <w:color w:val="000000" w:themeColor="text1"/>
          <w:lang w:val="en-US"/>
        </w:rPr>
      </w:pPr>
    </w:p>
    <w:p w14:paraId="58B8F7CB" w14:textId="65BBE3E7" w:rsidR="008D466A" w:rsidRDefault="008D466A" w:rsidP="00E411E1">
      <w:pPr>
        <w:spacing w:line="480" w:lineRule="auto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Corresponding author: Nada Taher</w:t>
      </w:r>
    </w:p>
    <w:p w14:paraId="184D4784" w14:textId="678D22E1" w:rsidR="008D466A" w:rsidRDefault="008D466A" w:rsidP="00E411E1">
      <w:pPr>
        <w:spacing w:line="480" w:lineRule="auto"/>
        <w:rPr>
          <w:b/>
          <w:bCs/>
          <w:color w:val="000000" w:themeColor="text1"/>
          <w:lang w:val="en-US"/>
        </w:rPr>
      </w:pPr>
      <w:hyperlink r:id="rId4" w:history="1">
        <w:r w:rsidRPr="00423176">
          <w:rPr>
            <w:rStyle w:val="Hyperlink"/>
            <w:b/>
            <w:bCs/>
            <w:lang w:val="en-US"/>
          </w:rPr>
          <w:t>omartahernada@gmail.com</w:t>
        </w:r>
      </w:hyperlink>
      <w:r>
        <w:rPr>
          <w:b/>
          <w:bCs/>
          <w:color w:val="000000" w:themeColor="text1"/>
          <w:lang w:val="en-US"/>
        </w:rPr>
        <w:t xml:space="preserve"> </w:t>
      </w:r>
    </w:p>
    <w:p w14:paraId="2C8009DA" w14:textId="77777777" w:rsidR="008D466A" w:rsidRDefault="008D466A" w:rsidP="00E411E1">
      <w:pPr>
        <w:spacing w:line="480" w:lineRule="auto"/>
        <w:rPr>
          <w:b/>
          <w:bCs/>
          <w:color w:val="000000" w:themeColor="text1"/>
          <w:lang w:val="en-US"/>
        </w:rPr>
      </w:pPr>
    </w:p>
    <w:p w14:paraId="46529247" w14:textId="3135ACCD" w:rsidR="00E411E1" w:rsidRPr="00634C95" w:rsidRDefault="00E411E1" w:rsidP="00E411E1">
      <w:pPr>
        <w:spacing w:line="480" w:lineRule="auto"/>
        <w:rPr>
          <w:b/>
          <w:bCs/>
          <w:color w:val="000000" w:themeColor="text1"/>
          <w:lang w:val="en-US"/>
        </w:rPr>
      </w:pPr>
      <w:r w:rsidRPr="00634C95">
        <w:rPr>
          <w:b/>
          <w:bCs/>
          <w:color w:val="000000" w:themeColor="text1"/>
          <w:lang w:val="en-US"/>
        </w:rPr>
        <w:t xml:space="preserve">Abstract </w:t>
      </w:r>
    </w:p>
    <w:p w14:paraId="68C28E00" w14:textId="77777777" w:rsidR="00E411E1" w:rsidRPr="00634C95" w:rsidRDefault="00E411E1" w:rsidP="00E411E1">
      <w:pPr>
        <w:spacing w:line="480" w:lineRule="auto"/>
        <w:rPr>
          <w:b/>
          <w:bCs/>
          <w:color w:val="000000" w:themeColor="text1"/>
          <w:lang w:val="en-US"/>
        </w:rPr>
      </w:pPr>
      <w:r w:rsidRPr="00634C95">
        <w:rPr>
          <w:b/>
          <w:bCs/>
          <w:color w:val="000000" w:themeColor="text1"/>
          <w:lang w:val="en-US"/>
        </w:rPr>
        <w:t xml:space="preserve">Background: </w:t>
      </w:r>
      <w:r w:rsidRPr="00634C95">
        <w:rPr>
          <w:color w:val="000000" w:themeColor="text1"/>
          <w:lang w:val="en-US"/>
        </w:rPr>
        <w:t xml:space="preserve">Laser photocoagulation and/or intravitreal injections of anti-vascular endothelial growth factor (anti-VEGF) constitute the current standard treatment for retinopathy of prematurity (ROP). The aim of </w:t>
      </w:r>
      <w:r w:rsidRPr="00DE58C3">
        <w:rPr>
          <w:color w:val="000000" w:themeColor="text1"/>
          <w:lang w:val="en-US"/>
        </w:rPr>
        <w:t>this systematic review</w:t>
      </w:r>
      <w:r>
        <w:rPr>
          <w:color w:val="000000" w:themeColor="text1"/>
          <w:lang w:val="en-US"/>
        </w:rPr>
        <w:t xml:space="preserve"> </w:t>
      </w:r>
      <w:r>
        <w:rPr>
          <w:lang w:val="en-CA"/>
        </w:rPr>
        <w:t>and meta-analysis</w:t>
      </w:r>
      <w:r w:rsidRPr="00DE58C3">
        <w:rPr>
          <w:color w:val="000000" w:themeColor="text1"/>
          <w:lang w:val="en-US"/>
        </w:rPr>
        <w:t xml:space="preserve"> was to </w:t>
      </w:r>
      <w:r w:rsidRPr="00634C95">
        <w:rPr>
          <w:color w:val="000000" w:themeColor="text1"/>
          <w:lang w:val="en-US"/>
        </w:rPr>
        <w:t xml:space="preserve">assess </w:t>
      </w:r>
      <w:r w:rsidRPr="00634C95">
        <w:rPr>
          <w:color w:val="000000" w:themeColor="text1"/>
          <w:shd w:val="clear" w:color="auto" w:fill="FFFFFF"/>
          <w:lang w:val="en-US"/>
        </w:rPr>
        <w:t xml:space="preserve">the efficacy and safety of intravitreal anti-VEGF monotherapy </w:t>
      </w:r>
      <w:r w:rsidRPr="00DE58C3">
        <w:rPr>
          <w:color w:val="000000" w:themeColor="text1"/>
          <w:shd w:val="clear" w:color="auto" w:fill="FFFFFF"/>
          <w:lang w:val="en-US"/>
        </w:rPr>
        <w:t xml:space="preserve">for </w:t>
      </w:r>
      <w:r w:rsidRPr="00634C95">
        <w:rPr>
          <w:color w:val="000000" w:themeColor="text1"/>
          <w:shd w:val="clear" w:color="auto" w:fill="FFFFFF"/>
          <w:lang w:val="en-US"/>
        </w:rPr>
        <w:t>ROP</w:t>
      </w:r>
      <w:r w:rsidRPr="00DE58C3">
        <w:rPr>
          <w:color w:val="000000" w:themeColor="text1"/>
          <w:shd w:val="clear" w:color="auto" w:fill="FFFFFF"/>
          <w:lang w:val="en-US"/>
        </w:rPr>
        <w:t xml:space="preserve"> treatment</w:t>
      </w:r>
      <w:r w:rsidRPr="00634C95">
        <w:rPr>
          <w:color w:val="000000" w:themeColor="text1"/>
          <w:shd w:val="clear" w:color="auto" w:fill="FFFFFF"/>
          <w:lang w:val="en-US"/>
        </w:rPr>
        <w:t xml:space="preserve">. </w:t>
      </w:r>
    </w:p>
    <w:p w14:paraId="0ACE7889" w14:textId="0A67CA5A" w:rsidR="00E411E1" w:rsidRPr="00634C95" w:rsidRDefault="00E411E1" w:rsidP="00E411E1">
      <w:pPr>
        <w:spacing w:line="480" w:lineRule="auto"/>
        <w:rPr>
          <w:color w:val="000000" w:themeColor="text1"/>
          <w:lang w:val="en-US"/>
        </w:rPr>
      </w:pPr>
      <w:r w:rsidRPr="00634C95">
        <w:rPr>
          <w:b/>
          <w:bCs/>
          <w:color w:val="000000" w:themeColor="text1"/>
          <w:lang w:val="en-US"/>
        </w:rPr>
        <w:t xml:space="preserve">Methods: </w:t>
      </w:r>
      <w:r w:rsidRPr="00634C95">
        <w:rPr>
          <w:color w:val="000000" w:themeColor="text1"/>
          <w:lang w:val="en-US"/>
        </w:rPr>
        <w:t xml:space="preserve">We searched Medline, Embase, and the Cochrane Central Register of Controlled Trials (CENTRAL). We included randomized controlled trials (RCTs) that compared intravitreal anti-VEGF monotherapy (e.g., Bevacizumab, Ranibizumab, Aflibercept, and Pegaptanib) to laser photocoagulation for preterm infants with ROP. We evaluated the recurrence rate, treatment </w:t>
      </w:r>
      <w:r w:rsidRPr="00634C95">
        <w:rPr>
          <w:color w:val="000000" w:themeColor="text1"/>
          <w:lang w:val="en-US"/>
        </w:rPr>
        <w:lastRenderedPageBreak/>
        <w:t>switch</w:t>
      </w:r>
      <w:r w:rsidRPr="00DE58C3">
        <w:rPr>
          <w:color w:val="000000" w:themeColor="text1"/>
          <w:lang w:val="en-US"/>
        </w:rPr>
        <w:t>ing</w:t>
      </w:r>
      <w:r w:rsidRPr="00634C95">
        <w:rPr>
          <w:color w:val="000000" w:themeColor="text1"/>
          <w:lang w:val="en-US"/>
        </w:rPr>
        <w:t xml:space="preserve">, retreatment, adverse events, and mortality rate. </w:t>
      </w:r>
      <w:r w:rsidRPr="00DE58C3">
        <w:rPr>
          <w:color w:val="000000" w:themeColor="text1"/>
          <w:lang w:val="en-US"/>
        </w:rPr>
        <w:t xml:space="preserve">The </w:t>
      </w:r>
      <w:r w:rsidRPr="00634C95">
        <w:rPr>
          <w:color w:val="000000" w:themeColor="text1"/>
          <w:lang w:val="en-US"/>
        </w:rPr>
        <w:t>risk ratio (RR) was used to represent dichotomous outcomes</w:t>
      </w:r>
      <w:r w:rsidR="00260FE6">
        <w:rPr>
          <w:color w:val="000000" w:themeColor="text1"/>
          <w:lang w:val="en-US"/>
        </w:rPr>
        <w:t xml:space="preserve">, </w:t>
      </w:r>
      <w:r w:rsidRPr="00634C95">
        <w:rPr>
          <w:color w:val="000000" w:themeColor="text1"/>
          <w:lang w:val="en-US"/>
        </w:rPr>
        <w:t>and data were pooled using inverse variance weighting.</w:t>
      </w:r>
    </w:p>
    <w:p w14:paraId="2DF2CDC7" w14:textId="77777777" w:rsidR="00E411E1" w:rsidRPr="00634C95" w:rsidRDefault="00E411E1" w:rsidP="00E411E1">
      <w:pPr>
        <w:spacing w:line="480" w:lineRule="auto"/>
        <w:rPr>
          <w:color w:val="000000" w:themeColor="text1"/>
          <w:lang w:val="en-US"/>
        </w:rPr>
      </w:pPr>
      <w:r w:rsidRPr="00634C95">
        <w:rPr>
          <w:b/>
          <w:bCs/>
          <w:color w:val="000000" w:themeColor="text1"/>
          <w:lang w:val="en-US"/>
        </w:rPr>
        <w:t xml:space="preserve">Results: </w:t>
      </w:r>
      <w:r w:rsidRPr="00634C95">
        <w:rPr>
          <w:color w:val="000000" w:themeColor="text1"/>
          <w:lang w:val="en-US"/>
        </w:rPr>
        <w:t xml:space="preserve">Seven RCTs </w:t>
      </w:r>
      <w:r w:rsidRPr="00DE58C3">
        <w:rPr>
          <w:color w:val="000000" w:themeColor="text1"/>
          <w:lang w:val="en-US"/>
        </w:rPr>
        <w:t xml:space="preserve">(n=579; </w:t>
      </w:r>
      <w:r w:rsidRPr="00634C95">
        <w:rPr>
          <w:color w:val="000000" w:themeColor="text1"/>
          <w:lang w:val="en-US"/>
        </w:rPr>
        <w:t xml:space="preserve">1152 eyes) were deemed eligible. The pooled effect estimate showed a statistically significant reduction in adverse events in favor of anti-VEGF monotherapy (RR=0.17, 95% </w:t>
      </w:r>
      <w:r w:rsidRPr="00DE58C3">
        <w:rPr>
          <w:color w:val="000000" w:themeColor="text1"/>
          <w:lang w:val="en-US"/>
        </w:rPr>
        <w:t>confidence interval [CI]</w:t>
      </w:r>
      <w:r w:rsidRPr="00634C95">
        <w:rPr>
          <w:color w:val="000000" w:themeColor="text1"/>
          <w:lang w:val="en-US"/>
        </w:rPr>
        <w:t xml:space="preserve"> 0.07</w:t>
      </w:r>
      <w:r w:rsidRPr="00DE58C3">
        <w:rPr>
          <w:color w:val="000000" w:themeColor="text1"/>
          <w:lang w:val="en-US"/>
        </w:rPr>
        <w:t>–</w:t>
      </w:r>
      <w:r w:rsidRPr="00634C95">
        <w:rPr>
          <w:color w:val="000000" w:themeColor="text1"/>
          <w:lang w:val="en-US"/>
        </w:rPr>
        <w:t xml:space="preserve">0.44). The pooled analysis showed no significant difference between </w:t>
      </w:r>
      <w:r w:rsidRPr="00DE58C3">
        <w:rPr>
          <w:color w:val="000000" w:themeColor="text1"/>
          <w:lang w:val="en-US"/>
        </w:rPr>
        <w:t xml:space="preserve">the </w:t>
      </w:r>
      <w:r w:rsidRPr="00634C95">
        <w:rPr>
          <w:color w:val="000000" w:themeColor="text1"/>
          <w:lang w:val="en-US"/>
        </w:rPr>
        <w:t>anti-VEGF and laser group</w:t>
      </w:r>
      <w:r w:rsidRPr="00DE58C3">
        <w:rPr>
          <w:color w:val="000000" w:themeColor="text1"/>
          <w:lang w:val="en-US"/>
        </w:rPr>
        <w:t>s</w:t>
      </w:r>
      <w:r w:rsidRPr="00634C95">
        <w:rPr>
          <w:color w:val="000000" w:themeColor="text1"/>
          <w:lang w:val="en-US"/>
        </w:rPr>
        <w:t xml:space="preserve"> in terms of </w:t>
      </w:r>
      <w:r w:rsidRPr="00DE58C3">
        <w:rPr>
          <w:color w:val="000000" w:themeColor="text1"/>
          <w:lang w:val="en-US"/>
        </w:rPr>
        <w:t xml:space="preserve">the </w:t>
      </w:r>
      <w:r w:rsidRPr="00634C95">
        <w:rPr>
          <w:color w:val="000000" w:themeColor="text1"/>
          <w:lang w:val="en-US"/>
        </w:rPr>
        <w:t>recurrence rate (RR=1.56, 95% CI 0.23</w:t>
      </w:r>
      <w:r w:rsidRPr="00DE58C3">
        <w:rPr>
          <w:color w:val="000000" w:themeColor="text1"/>
          <w:lang w:val="en-US"/>
        </w:rPr>
        <w:t>–</w:t>
      </w:r>
      <w:r w:rsidRPr="00634C95">
        <w:rPr>
          <w:color w:val="000000" w:themeColor="text1"/>
          <w:lang w:val="en-US"/>
        </w:rPr>
        <w:t>10.54), treatment switch</w:t>
      </w:r>
      <w:r w:rsidRPr="00DE58C3">
        <w:rPr>
          <w:color w:val="000000" w:themeColor="text1"/>
          <w:lang w:val="en-US"/>
        </w:rPr>
        <w:t>ing</w:t>
      </w:r>
      <w:r w:rsidRPr="00634C95">
        <w:rPr>
          <w:color w:val="000000" w:themeColor="text1"/>
          <w:lang w:val="en-US"/>
        </w:rPr>
        <w:t xml:space="preserve"> (RR=2.92, 95% CI 0.40 </w:t>
      </w:r>
      <w:r w:rsidRPr="00DE58C3">
        <w:rPr>
          <w:color w:val="000000" w:themeColor="text1"/>
          <w:lang w:val="en-US"/>
        </w:rPr>
        <w:t>–</w:t>
      </w:r>
      <w:r w:rsidRPr="00634C95">
        <w:rPr>
          <w:color w:val="000000" w:themeColor="text1"/>
          <w:lang w:val="en-US"/>
        </w:rPr>
        <w:t>21.05), retreatment (RR=1.56, 95% CI 0.35</w:t>
      </w:r>
      <w:r w:rsidRPr="00DE58C3">
        <w:rPr>
          <w:color w:val="000000" w:themeColor="text1"/>
          <w:lang w:val="en-US"/>
        </w:rPr>
        <w:t>–</w:t>
      </w:r>
      <w:r w:rsidRPr="00634C95">
        <w:rPr>
          <w:color w:val="000000" w:themeColor="text1"/>
          <w:lang w:val="en-US"/>
        </w:rPr>
        <w:t>6.96), and mortality rate (RR=1.27, 95% CI 0.47</w:t>
      </w:r>
      <w:r w:rsidRPr="00DE58C3">
        <w:rPr>
          <w:color w:val="000000" w:themeColor="text1"/>
          <w:lang w:val="en-US"/>
        </w:rPr>
        <w:t>–</w:t>
      </w:r>
      <w:r w:rsidRPr="00634C95">
        <w:rPr>
          <w:color w:val="000000" w:themeColor="text1"/>
          <w:lang w:val="en-US"/>
        </w:rPr>
        <w:t xml:space="preserve">3.41). </w:t>
      </w:r>
      <w:r w:rsidRPr="00DE58C3">
        <w:rPr>
          <w:color w:val="000000" w:themeColor="text1"/>
          <w:lang w:val="en-US"/>
        </w:rPr>
        <w:t xml:space="preserve"> </w:t>
      </w:r>
    </w:p>
    <w:p w14:paraId="56CD1300" w14:textId="77777777" w:rsidR="00E411E1" w:rsidRPr="00634C95" w:rsidRDefault="00E411E1" w:rsidP="00E411E1">
      <w:pPr>
        <w:spacing w:line="480" w:lineRule="auto"/>
        <w:rPr>
          <w:color w:val="000000" w:themeColor="text1"/>
          <w:lang w:val="en-US"/>
        </w:rPr>
      </w:pPr>
      <w:r w:rsidRPr="00634C95">
        <w:rPr>
          <w:b/>
          <w:bCs/>
          <w:color w:val="000000" w:themeColor="text1"/>
          <w:lang w:val="en-US"/>
        </w:rPr>
        <w:t xml:space="preserve">Conclusions: </w:t>
      </w:r>
      <w:r w:rsidRPr="00DE58C3">
        <w:rPr>
          <w:color w:val="000000" w:themeColor="text1"/>
          <w:lang w:val="en-US"/>
        </w:rPr>
        <w:t>A</w:t>
      </w:r>
      <w:r w:rsidRPr="00634C95">
        <w:rPr>
          <w:color w:val="000000" w:themeColor="text1"/>
          <w:lang w:val="en-US"/>
        </w:rPr>
        <w:t>nti-VEGF monotherapy seems to be superior for eyes with zone I ROP due to</w:t>
      </w:r>
      <w:r w:rsidRPr="00DE58C3">
        <w:rPr>
          <w:color w:val="000000" w:themeColor="text1"/>
          <w:lang w:val="en-US"/>
        </w:rPr>
        <w:t xml:space="preserve"> the</w:t>
      </w:r>
      <w:r w:rsidRPr="00634C95">
        <w:rPr>
          <w:color w:val="000000" w:themeColor="text1"/>
          <w:lang w:val="en-US"/>
        </w:rPr>
        <w:t xml:space="preserve"> significantly lower recurrence rate and </w:t>
      </w:r>
      <w:r w:rsidRPr="00DE58C3">
        <w:rPr>
          <w:color w:val="000000" w:themeColor="text1"/>
          <w:lang w:val="en-US"/>
        </w:rPr>
        <w:t xml:space="preserve">fewer </w:t>
      </w:r>
      <w:r w:rsidRPr="00634C95">
        <w:rPr>
          <w:color w:val="000000" w:themeColor="text1"/>
          <w:lang w:val="en-US"/>
        </w:rPr>
        <w:t>adverse events. However, there is no clear advantage over retinal ablative therapy for eyes with zone II ROP since less retreatment and treatment switch</w:t>
      </w:r>
      <w:r w:rsidRPr="00DE58C3">
        <w:rPr>
          <w:color w:val="000000" w:themeColor="text1"/>
          <w:lang w:val="en-US"/>
        </w:rPr>
        <w:t>ing</w:t>
      </w:r>
      <w:r w:rsidRPr="00634C95">
        <w:rPr>
          <w:color w:val="000000" w:themeColor="text1"/>
          <w:lang w:val="en-US"/>
        </w:rPr>
        <w:t xml:space="preserve"> were reported among</w:t>
      </w:r>
      <w:r w:rsidRPr="00DE58C3">
        <w:rPr>
          <w:color w:val="000000" w:themeColor="text1"/>
          <w:lang w:val="en-US"/>
        </w:rPr>
        <w:t xml:space="preserve"> the</w:t>
      </w:r>
      <w:r w:rsidRPr="00634C95">
        <w:rPr>
          <w:color w:val="000000" w:themeColor="text1"/>
          <w:lang w:val="en-US"/>
        </w:rPr>
        <w:t xml:space="preserve"> laser group, </w:t>
      </w:r>
      <w:r w:rsidRPr="00DE58C3">
        <w:rPr>
          <w:color w:val="000000" w:themeColor="text1"/>
          <w:lang w:val="en-US"/>
        </w:rPr>
        <w:t>although</w:t>
      </w:r>
      <w:r w:rsidRPr="00634C95">
        <w:rPr>
          <w:color w:val="000000" w:themeColor="text1"/>
          <w:lang w:val="en-US"/>
        </w:rPr>
        <w:t xml:space="preserve"> the safety margin </w:t>
      </w:r>
      <w:r w:rsidRPr="00DE58C3">
        <w:rPr>
          <w:color w:val="000000" w:themeColor="text1"/>
          <w:lang w:val="en-US"/>
        </w:rPr>
        <w:t>favored</w:t>
      </w:r>
      <w:r w:rsidRPr="00634C95">
        <w:rPr>
          <w:color w:val="000000" w:themeColor="text1"/>
          <w:lang w:val="en-US"/>
        </w:rPr>
        <w:t xml:space="preserve"> anti-VEGF injection.  </w:t>
      </w:r>
    </w:p>
    <w:p w14:paraId="145EBA53" w14:textId="77777777" w:rsidR="00E411E1" w:rsidRPr="00634C95" w:rsidRDefault="00E411E1" w:rsidP="00E411E1">
      <w:pPr>
        <w:spacing w:line="480" w:lineRule="auto"/>
        <w:rPr>
          <w:b/>
          <w:bCs/>
          <w:color w:val="000000" w:themeColor="text1"/>
          <w:lang w:val="en-US"/>
        </w:rPr>
      </w:pPr>
      <w:r w:rsidRPr="00634C95">
        <w:rPr>
          <w:b/>
          <w:bCs/>
          <w:color w:val="000000" w:themeColor="text1"/>
          <w:lang w:val="en-US"/>
        </w:rPr>
        <w:t xml:space="preserve">Keywords: </w:t>
      </w:r>
      <w:r w:rsidRPr="00634C95">
        <w:rPr>
          <w:color w:val="000000" w:themeColor="text1"/>
          <w:lang w:val="en-US"/>
        </w:rPr>
        <w:t xml:space="preserve">Retinopathy of </w:t>
      </w:r>
      <w:r w:rsidRPr="00DE58C3">
        <w:rPr>
          <w:color w:val="000000" w:themeColor="text1"/>
          <w:lang w:val="en-US"/>
        </w:rPr>
        <w:t>p</w:t>
      </w:r>
      <w:r w:rsidRPr="00634C95">
        <w:rPr>
          <w:color w:val="000000" w:themeColor="text1"/>
          <w:lang w:val="en-US"/>
        </w:rPr>
        <w:t xml:space="preserve">rematurity; </w:t>
      </w:r>
      <w:r w:rsidRPr="00DE58C3">
        <w:rPr>
          <w:color w:val="000000" w:themeColor="text1"/>
          <w:lang w:val="en-US"/>
        </w:rPr>
        <w:t>a</w:t>
      </w:r>
      <w:r w:rsidRPr="00634C95">
        <w:rPr>
          <w:color w:val="000000" w:themeColor="text1"/>
          <w:lang w:val="en-US"/>
        </w:rPr>
        <w:t xml:space="preserve">nti‐vascular </w:t>
      </w:r>
      <w:r w:rsidRPr="00DE58C3">
        <w:rPr>
          <w:color w:val="000000" w:themeColor="text1"/>
          <w:lang w:val="en-US"/>
        </w:rPr>
        <w:t>e</w:t>
      </w:r>
      <w:r w:rsidRPr="00634C95">
        <w:rPr>
          <w:color w:val="000000" w:themeColor="text1"/>
          <w:lang w:val="en-US"/>
        </w:rPr>
        <w:t xml:space="preserve">ndothelial </w:t>
      </w:r>
      <w:r w:rsidRPr="00DE58C3">
        <w:rPr>
          <w:color w:val="000000" w:themeColor="text1"/>
          <w:lang w:val="en-US"/>
        </w:rPr>
        <w:t>g</w:t>
      </w:r>
      <w:r w:rsidRPr="00634C95">
        <w:rPr>
          <w:color w:val="000000" w:themeColor="text1"/>
          <w:lang w:val="en-US"/>
        </w:rPr>
        <w:t xml:space="preserve">rowth </w:t>
      </w:r>
      <w:r w:rsidRPr="00DE58C3">
        <w:rPr>
          <w:color w:val="000000" w:themeColor="text1"/>
          <w:lang w:val="en-US"/>
        </w:rPr>
        <w:t>f</w:t>
      </w:r>
      <w:r w:rsidRPr="00634C95">
        <w:rPr>
          <w:color w:val="000000" w:themeColor="text1"/>
          <w:lang w:val="en-US"/>
        </w:rPr>
        <w:t xml:space="preserve">actor; Bevacizumab; Ranibizumab; </w:t>
      </w:r>
      <w:r w:rsidRPr="00DE58C3">
        <w:rPr>
          <w:color w:val="000000" w:themeColor="text1"/>
          <w:lang w:val="en-US"/>
        </w:rPr>
        <w:t>l</w:t>
      </w:r>
      <w:r w:rsidRPr="00634C95">
        <w:rPr>
          <w:color w:val="000000" w:themeColor="text1"/>
          <w:lang w:val="en-US"/>
        </w:rPr>
        <w:t xml:space="preserve">aser photocoagulation </w:t>
      </w:r>
    </w:p>
    <w:p w14:paraId="1498C95B" w14:textId="77777777" w:rsidR="007A2E81" w:rsidRDefault="007A2E81"/>
    <w:sectPr w:rsidR="007A2E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E1"/>
    <w:rsid w:val="00260FE6"/>
    <w:rsid w:val="00446D4A"/>
    <w:rsid w:val="007A2E81"/>
    <w:rsid w:val="008D466A"/>
    <w:rsid w:val="00E411E1"/>
    <w:rsid w:val="00E6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B1C9DD"/>
  <w15:chartTrackingRefBased/>
  <w15:docId w15:val="{D5585562-80E7-3046-BF46-7C94BEE2F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E1"/>
    <w:rPr>
      <w:rFonts w:ascii="Times New Roman" w:eastAsia="Times New Roman" w:hAnsi="Times New Roman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E411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11E1"/>
    <w:rPr>
      <w:rFonts w:ascii="Times New Roman" w:eastAsia="Times New Roman" w:hAnsi="Times New Roman" w:cs="Times New Roman"/>
      <w:sz w:val="20"/>
      <w:szCs w:val="20"/>
      <w:lang w:val="en-IN"/>
    </w:rPr>
  </w:style>
  <w:style w:type="character" w:styleId="Hyperlink">
    <w:name w:val="Hyperlink"/>
    <w:basedOn w:val="DefaultParagraphFont"/>
    <w:uiPriority w:val="99"/>
    <w:unhideWhenUsed/>
    <w:rsid w:val="00E411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martahernad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399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Omar A Taher</dc:creator>
  <cp:keywords/>
  <dc:description/>
  <cp:lastModifiedBy>Nada Omar A Taher</cp:lastModifiedBy>
  <cp:revision>4</cp:revision>
  <dcterms:created xsi:type="dcterms:W3CDTF">2021-12-20T18:38:00Z</dcterms:created>
  <dcterms:modified xsi:type="dcterms:W3CDTF">2021-12-20T18:50:00Z</dcterms:modified>
</cp:coreProperties>
</file>