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2A36" w:rsidRPr="007F34DD" w:rsidRDefault="00882A36" w:rsidP="00882A36">
      <w:pPr>
        <w:spacing w:line="360" w:lineRule="auto"/>
        <w:rPr>
          <w:rFonts w:ascii="Times New Roman" w:hAnsi="Times New Roman" w:cs="Times New Roman"/>
          <w:b/>
          <w:sz w:val="24"/>
          <w:szCs w:val="24"/>
          <w:lang w:val="en-US"/>
        </w:rPr>
      </w:pPr>
      <w:r w:rsidRPr="007F34DD">
        <w:rPr>
          <w:rFonts w:ascii="Times New Roman" w:hAnsi="Times New Roman" w:cs="Times New Roman"/>
          <w:b/>
          <w:sz w:val="24"/>
          <w:szCs w:val="24"/>
          <w:lang w:val="en-US"/>
        </w:rPr>
        <w:t>The role of matrix metalloproteinase in the development of pericardial effusion in patients with rheumatoid arthritis</w:t>
      </w:r>
    </w:p>
    <w:p w:rsidR="00882A36" w:rsidRDefault="00882A36" w:rsidP="00882A36">
      <w:pPr>
        <w:spacing w:line="36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Feiskhanova</w:t>
      </w:r>
      <w:proofErr w:type="spellEnd"/>
      <w:r>
        <w:rPr>
          <w:rFonts w:ascii="Times New Roman" w:hAnsi="Times New Roman" w:cs="Times New Roman"/>
          <w:sz w:val="24"/>
          <w:szCs w:val="24"/>
          <w:lang w:val="en-US"/>
        </w:rPr>
        <w:t xml:space="preserve"> L.I.</w:t>
      </w:r>
    </w:p>
    <w:p w:rsidR="00882A36" w:rsidRDefault="00882A36" w:rsidP="00882A36">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Kazan State Medical University, Kazan, Russia.</w:t>
      </w:r>
    </w:p>
    <w:p w:rsidR="00882A36" w:rsidRPr="00882A36" w:rsidRDefault="00882A36" w:rsidP="00882A36">
      <w:pPr>
        <w:spacing w:line="360" w:lineRule="auto"/>
        <w:ind w:firstLine="567"/>
        <w:jc w:val="both"/>
        <w:rPr>
          <w:rFonts w:ascii="Times New Roman" w:hAnsi="Times New Roman" w:cs="Times New Roman"/>
          <w:sz w:val="24"/>
          <w:szCs w:val="24"/>
          <w:lang w:val="en-US"/>
        </w:rPr>
      </w:pPr>
      <w:r w:rsidRPr="00882A36">
        <w:rPr>
          <w:rFonts w:ascii="Times New Roman" w:hAnsi="Times New Roman" w:cs="Times New Roman"/>
          <w:sz w:val="24"/>
          <w:szCs w:val="24"/>
          <w:lang w:val="en-US"/>
        </w:rPr>
        <w:t>The injury of pericardium is one of the most frequent manifestations of cardiovascular pathology, developing with the progression of rheumatoid arthritis, accounting for approximately 30-40% of patients. In pericarditis, developing against the background of rheumatoid arthritis, the autoimmune mechanisms of pericardia</w:t>
      </w:r>
      <w:bookmarkStart w:id="0" w:name="_GoBack"/>
      <w:bookmarkEnd w:id="0"/>
      <w:r w:rsidRPr="00882A36">
        <w:rPr>
          <w:rFonts w:ascii="Times New Roman" w:hAnsi="Times New Roman" w:cs="Times New Roman"/>
          <w:sz w:val="24"/>
          <w:szCs w:val="24"/>
          <w:lang w:val="en-US"/>
        </w:rPr>
        <w:t xml:space="preserve">l damage and the development of an immune response by the type of delayed hypersensitivity come to the fore. The aim of our study was to reveal the features of biochemical markers in patients with rheumatoid arthritis depending on the presence of pericardial effusion. The study included 103 patients with rheumatoid arthritis, 92 women and 11 men. The median age was 52.7±5.2 years. All patients at admission was carried out blood tests on determination of erythrocyte sedimentation rate, level of circulating immune complexes, C-reactive protein, chest x-ray of the affected joints, transthoracic echocardiography. DAS-28 </w:t>
      </w:r>
      <w:proofErr w:type="gramStart"/>
      <w:r w:rsidRPr="00882A36">
        <w:rPr>
          <w:rFonts w:ascii="Times New Roman" w:hAnsi="Times New Roman" w:cs="Times New Roman"/>
          <w:sz w:val="24"/>
          <w:szCs w:val="24"/>
          <w:lang w:val="en-US"/>
        </w:rPr>
        <w:t>was used</w:t>
      </w:r>
      <w:proofErr w:type="gramEnd"/>
      <w:r w:rsidRPr="00882A36">
        <w:rPr>
          <w:rFonts w:ascii="Times New Roman" w:hAnsi="Times New Roman" w:cs="Times New Roman"/>
          <w:sz w:val="24"/>
          <w:szCs w:val="24"/>
          <w:lang w:val="en-US"/>
        </w:rPr>
        <w:t xml:space="preserve"> to assess the disease activity. In addition, serum levels of matrix metalloproteinase (MMP-9) and antibodies to vimentin (anti-MCV) were determined in all patients. According to the results of echocardiography, patients were divided into two groups: the first group – with the presence of pericardial effusion, 26 people, 25.2%, the second group – without pericardial effusion, 77 people, </w:t>
      </w:r>
      <w:proofErr w:type="gramStart"/>
      <w:r w:rsidRPr="00882A36">
        <w:rPr>
          <w:rFonts w:ascii="Times New Roman" w:hAnsi="Times New Roman" w:cs="Times New Roman"/>
          <w:sz w:val="24"/>
          <w:szCs w:val="24"/>
          <w:lang w:val="en-US"/>
        </w:rPr>
        <w:t>74.8</w:t>
      </w:r>
      <w:proofErr w:type="gramEnd"/>
      <w:r w:rsidRPr="00882A36">
        <w:rPr>
          <w:rFonts w:ascii="Times New Roman" w:hAnsi="Times New Roman" w:cs="Times New Roman"/>
          <w:sz w:val="24"/>
          <w:szCs w:val="24"/>
          <w:lang w:val="en-US"/>
        </w:rPr>
        <w:t xml:space="preserve">%. The results showed that the development of pericardial effusion </w:t>
      </w:r>
      <w:proofErr w:type="gramStart"/>
      <w:r w:rsidRPr="00882A36">
        <w:rPr>
          <w:rFonts w:ascii="Times New Roman" w:hAnsi="Times New Roman" w:cs="Times New Roman"/>
          <w:sz w:val="24"/>
          <w:szCs w:val="24"/>
          <w:lang w:val="en-US"/>
        </w:rPr>
        <w:t>is accompanied</w:t>
      </w:r>
      <w:proofErr w:type="gramEnd"/>
      <w:r w:rsidRPr="00882A36">
        <w:rPr>
          <w:rFonts w:ascii="Times New Roman" w:hAnsi="Times New Roman" w:cs="Times New Roman"/>
          <w:sz w:val="24"/>
          <w:szCs w:val="24"/>
          <w:lang w:val="en-US"/>
        </w:rPr>
        <w:t xml:space="preserve"> by an increase in the level of MMR-9 and the relationship between the increase in anti-MCV and the duration of rheumatoid arthritis. </w:t>
      </w:r>
    </w:p>
    <w:p w:rsidR="00110BA6" w:rsidRPr="00882A36" w:rsidRDefault="00110BA6">
      <w:pPr>
        <w:rPr>
          <w:lang w:val="en-US"/>
        </w:rPr>
      </w:pPr>
    </w:p>
    <w:sectPr w:rsidR="00110BA6" w:rsidRPr="00882A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A36"/>
    <w:rsid w:val="00110BA6"/>
    <w:rsid w:val="00882A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2AF9F2-7E27-4EF1-8003-B150A9DBB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2A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260</Words>
  <Characters>1484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338</dc:creator>
  <cp:keywords/>
  <dc:description/>
  <cp:lastModifiedBy>338</cp:lastModifiedBy>
  <cp:revision>1</cp:revision>
  <dcterms:created xsi:type="dcterms:W3CDTF">2018-10-11T18:18:00Z</dcterms:created>
  <dcterms:modified xsi:type="dcterms:W3CDTF">2018-10-11T18:22:00Z</dcterms:modified>
</cp:coreProperties>
</file>