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pBdr>
          <w:top w:color="000000" w:space="5" w:sz="0" w:val="none"/>
        </w:pBdr>
        <w:spacing w:after="0" w:before="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Title of Project: The Role of CHA2DS2-VASc Score vs. Anticoagulation for Predicting Morbidity and Mortality for Ischemic Bowel Disease secondary to Atrial Fibrillation</w:t>
      </w:r>
    </w:p>
    <w:p w:rsidR="00000000" w:rsidDel="00000000" w:rsidP="00000000" w:rsidRDefault="00000000" w:rsidRPr="00000000" w14:paraId="00000002">
      <w:pPr>
        <w:pStyle w:val="Heading3"/>
        <w:keepNext w:val="0"/>
        <w:keepLines w:val="0"/>
        <w:pBdr>
          <w:top w:color="000000" w:space="5" w:sz="0" w:val="none"/>
        </w:pBdr>
        <w:spacing w:after="0" w:before="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vertAlign w:val="superscript"/>
          <w:rtl w:val="0"/>
        </w:rPr>
        <w:t xml:space="preserve">*</w:t>
      </w:r>
      <w:r w:rsidDel="00000000" w:rsidR="00000000" w:rsidRPr="00000000">
        <w:rPr>
          <w:rFonts w:ascii="Times New Roman" w:cs="Times New Roman" w:eastAsia="Times New Roman" w:hAnsi="Times New Roman"/>
          <w:b w:val="1"/>
          <w:color w:val="000000"/>
          <w:sz w:val="24"/>
          <w:szCs w:val="24"/>
          <w:rtl w:val="0"/>
        </w:rPr>
        <w:t xml:space="preserve">Principal Investigator: </w:t>
      </w:r>
      <w:r w:rsidDel="00000000" w:rsidR="00000000" w:rsidRPr="00000000">
        <w:rPr>
          <w:rFonts w:ascii="Times New Roman" w:cs="Times New Roman" w:eastAsia="Times New Roman" w:hAnsi="Times New Roman"/>
          <w:color w:val="000000"/>
          <w:sz w:val="24"/>
          <w:szCs w:val="24"/>
          <w:rtl w:val="0"/>
        </w:rPr>
        <w:t xml:space="preserve">Dr. Troy Randle, DO; Dr. Donald McMahon, DO</w:t>
      </w:r>
    </w:p>
    <w:p w:rsidR="00000000" w:rsidDel="00000000" w:rsidP="00000000" w:rsidRDefault="00000000" w:rsidRPr="00000000" w14:paraId="00000003">
      <w:pPr>
        <w:pStyle w:val="Heading3"/>
        <w:keepNext w:val="0"/>
        <w:keepLines w:val="0"/>
        <w:pBdr>
          <w:top w:color="000000" w:space="5" w:sz="0" w:val="none"/>
        </w:pBdr>
        <w:spacing w:after="0" w:before="0" w:lineRule="auto"/>
        <w:rPr>
          <w:rFonts w:ascii="Times New Roman" w:cs="Times New Roman" w:eastAsia="Times New Roman" w:hAnsi="Times New Roman"/>
          <w:color w:val="000000"/>
          <w:sz w:val="24"/>
          <w:szCs w:val="24"/>
        </w:rPr>
      </w:pPr>
      <w:bookmarkStart w:colFirst="0" w:colLast="0" w:name="_gjdgxs" w:id="0"/>
      <w:bookmarkEnd w:id="0"/>
      <w:r w:rsidDel="00000000" w:rsidR="00000000" w:rsidRPr="00000000">
        <w:rPr>
          <w:rFonts w:ascii="Times New Roman" w:cs="Times New Roman" w:eastAsia="Times New Roman" w:hAnsi="Times New Roman"/>
          <w:b w:val="1"/>
          <w:color w:val="000000"/>
          <w:sz w:val="24"/>
          <w:szCs w:val="24"/>
          <w:rtl w:val="0"/>
        </w:rPr>
        <w:t xml:space="preserve">Co-Investigator:  </w:t>
      </w:r>
      <w:r w:rsidDel="00000000" w:rsidR="00000000" w:rsidRPr="00000000">
        <w:rPr>
          <w:rFonts w:ascii="Times New Roman" w:cs="Times New Roman" w:eastAsia="Times New Roman" w:hAnsi="Times New Roman"/>
          <w:color w:val="000000"/>
          <w:sz w:val="24"/>
          <w:szCs w:val="24"/>
          <w:rtl w:val="0"/>
        </w:rPr>
        <w:t xml:space="preserve">Dr.</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Yaser Khalid, DO; Dr. Neethi Dasu, DO</w:t>
      </w:r>
    </w:p>
    <w:p w:rsidR="00000000" w:rsidDel="00000000" w:rsidP="00000000" w:rsidRDefault="00000000" w:rsidRPr="00000000" w14:paraId="00000004">
      <w:pPr>
        <w:pStyle w:val="Heading3"/>
        <w:keepNext w:val="0"/>
        <w:keepLines w:val="0"/>
        <w:pBdr>
          <w:top w:color="000000" w:space="5" w:sz="0" w:val="none"/>
        </w:pBdr>
        <w:spacing w:after="0" w:before="0" w:lineRule="auto"/>
        <w:rPr>
          <w:rFonts w:ascii="Times New Roman" w:cs="Times New Roman" w:eastAsia="Times New Roman" w:hAnsi="Times New Roman"/>
          <w:color w:val="000000"/>
          <w:sz w:val="24"/>
          <w:szCs w:val="24"/>
        </w:rPr>
      </w:pPr>
      <w:bookmarkStart w:colFirst="0" w:colLast="0" w:name="_30j0zll" w:id="1"/>
      <w:bookmarkEnd w:id="1"/>
      <w:r w:rsidDel="00000000" w:rsidR="00000000" w:rsidRPr="00000000">
        <w:rPr>
          <w:rFonts w:ascii="Times New Roman" w:cs="Times New Roman" w:eastAsia="Times New Roman" w:hAnsi="Times New Roman"/>
          <w:b w:val="1"/>
          <w:color w:val="000000"/>
          <w:sz w:val="24"/>
          <w:szCs w:val="24"/>
          <w:rtl w:val="0"/>
        </w:rPr>
        <w:t xml:space="preserve">**Funding Source(s): </w:t>
      </w:r>
      <w:r w:rsidDel="00000000" w:rsidR="00000000" w:rsidRPr="00000000">
        <w:rPr>
          <w:rFonts w:ascii="Times New Roman" w:cs="Times New Roman" w:eastAsia="Times New Roman" w:hAnsi="Times New Roman"/>
          <w:color w:val="000000"/>
          <w:sz w:val="24"/>
          <w:szCs w:val="24"/>
          <w:rtl w:val="0"/>
        </w:rPr>
        <w:t xml:space="preserve">Internally Funded</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pStyle w:val="Heading3"/>
        <w:keepNext w:val="0"/>
        <w:keepLines w:val="0"/>
        <w:pBdr>
          <w:top w:color="000000" w:space="5" w:sz="0" w:val="none"/>
        </w:pBdr>
        <w:spacing w:after="40" w:before="0" w:line="294" w:lineRule="auto"/>
        <w:rPr>
          <w:rFonts w:ascii="Times New Roman" w:cs="Times New Roman" w:eastAsia="Times New Roman" w:hAnsi="Times New Roman"/>
          <w:b w:val="1"/>
          <w:color w:val="000000"/>
          <w:sz w:val="24"/>
          <w:szCs w:val="24"/>
        </w:rPr>
      </w:pPr>
      <w:bookmarkStart w:colFirst="0" w:colLast="0" w:name="_1fob9te" w:id="2"/>
      <w:bookmarkEnd w:id="2"/>
      <w:r w:rsidDel="00000000" w:rsidR="00000000" w:rsidRPr="00000000">
        <w:rPr>
          <w:rFonts w:ascii="Times New Roman" w:cs="Times New Roman" w:eastAsia="Times New Roman" w:hAnsi="Times New Roman"/>
          <w:b w:val="1"/>
          <w:color w:val="000000"/>
          <w:sz w:val="24"/>
          <w:szCs w:val="24"/>
          <w:rtl w:val="0"/>
        </w:rPr>
        <w:t xml:space="preserve">Abstract</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Objective: </w:t>
      </w:r>
      <w:r w:rsidDel="00000000" w:rsidR="00000000" w:rsidRPr="00000000">
        <w:rPr>
          <w:rFonts w:ascii="Times New Roman" w:cs="Times New Roman" w:eastAsia="Times New Roman" w:hAnsi="Times New Roman"/>
          <w:sz w:val="24"/>
          <w:szCs w:val="24"/>
          <w:rtl w:val="0"/>
        </w:rPr>
        <w:t xml:space="preserve">Atrial fibrillation is a common disorder which can potentially have multiple adverse outcomes.  One such outcome is the development of ischemic bowel disease.  The aims of this study are: to  evaluate the role of CHA2DS2-VASc score as a predictor of higher mortality in patients who have atrial fibrillation and ischemic bowel disease, i.e. if a higher CHA2DS2-VASc score is associated with higher mortality; to evaluate whether being on anticoagulation is associated with a lower mortality for such patients in this population.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Methods: </w:t>
      </w:r>
      <w:r w:rsidDel="00000000" w:rsidR="00000000" w:rsidRPr="00000000">
        <w:rPr>
          <w:rFonts w:ascii="Times New Roman" w:cs="Times New Roman" w:eastAsia="Times New Roman" w:hAnsi="Times New Roman"/>
          <w:sz w:val="24"/>
          <w:szCs w:val="24"/>
          <w:rtl w:val="0"/>
        </w:rPr>
        <w:t xml:space="preserve">This retrospective study reviewed patients admitted to three community teaching hospitals (health system) from January 1, 2016, through October 15, 2018 with the primary diagnosis of atrial fibrillation and ischemic bowel disease. The subject cohort was gathered via the use of </w:t>
      </w:r>
      <w:r w:rsidDel="00000000" w:rsidR="00000000" w:rsidRPr="00000000">
        <w:rPr>
          <w:rFonts w:ascii="Times New Roman" w:cs="Times New Roman" w:eastAsia="Times New Roman" w:hAnsi="Times New Roman"/>
          <w:sz w:val="24"/>
          <w:szCs w:val="24"/>
          <w:highlight w:val="white"/>
          <w:rtl w:val="0"/>
        </w:rPr>
        <w:t xml:space="preserve">International Statistical Classification of Diseases and Related Health Problems (ICD) </w:t>
      </w:r>
      <w:r w:rsidDel="00000000" w:rsidR="00000000" w:rsidRPr="00000000">
        <w:rPr>
          <w:rFonts w:ascii="Times New Roman" w:cs="Times New Roman" w:eastAsia="Times New Roman" w:hAnsi="Times New Roman"/>
          <w:sz w:val="24"/>
          <w:szCs w:val="24"/>
          <w:rtl w:val="0"/>
        </w:rPr>
        <w:t xml:space="preserve">10 codes. Baseline characteristics such as age, sex, CHA2DS2-VASc Score, and mean Cr, subjects use of anticoagulation were analyzed. Hazard ratios, P-values, Confidence Intervals, and </w:t>
      </w:r>
      <w:r w:rsidDel="00000000" w:rsidR="00000000" w:rsidRPr="00000000">
        <w:rPr>
          <w:rFonts w:ascii="Times New Roman" w:cs="Times New Roman" w:eastAsia="Times New Roman" w:hAnsi="Times New Roman"/>
          <w:sz w:val="24"/>
          <w:szCs w:val="24"/>
          <w:highlight w:val="white"/>
          <w:rtl w:val="0"/>
        </w:rPr>
        <w:t xml:space="preserve">a Cox proportional-hazards model </w:t>
      </w:r>
      <w:r w:rsidDel="00000000" w:rsidR="00000000" w:rsidRPr="00000000">
        <w:rPr>
          <w:rFonts w:ascii="Times New Roman" w:cs="Times New Roman" w:eastAsia="Times New Roman" w:hAnsi="Times New Roman"/>
          <w:sz w:val="24"/>
          <w:szCs w:val="24"/>
          <w:rtl w:val="0"/>
        </w:rPr>
        <w:t xml:space="preserve">for the baseline characteristics were calculated.  Kaplan-Meier curves were calculated and then plotted together for subjects on anticoagulation versus those not on anticoagulation. The area under the receiver operating characteristic (ROC) curve was employed to assess the predictive power of CHA2DS2-VASc score for mortality development among ischemic bowel disease patients with atrial fibrillation.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Results: </w:t>
      </w:r>
      <w:r w:rsidDel="00000000" w:rsidR="00000000" w:rsidRPr="00000000">
        <w:rPr>
          <w:rFonts w:ascii="Times New Roman" w:cs="Times New Roman" w:eastAsia="Times New Roman" w:hAnsi="Times New Roman"/>
          <w:sz w:val="24"/>
          <w:szCs w:val="24"/>
          <w:rtl w:val="0"/>
        </w:rPr>
        <w:t xml:space="preserve">Sixty-five patients were included. The majority of the patients were older than &gt;75 (63%), female (69%), and had established HTN (68%). The mean CHA2DS2-VASc score was 4.25 with p value &lt;0.009. Utilizing the cox proportional-hazards model, the hazard ratios for females, patients with diabetes mellitus, and CHA2DS2-VASc score were statistically significant with p-value &lt;0.05 and hazard ratios with confidence intervals that did not include 1.</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area under the curve of ROC was 0.67, indicating a fair-to-poor marker with regards to the predictive power of CHA2DS2-VASc score for mortality development in patients with ischemic bowel disease patients and atrial fibrillation. When examining mortality in patients based on whether or not patients were on anticoagulation, the hazard ratio was </w:t>
      </w:r>
      <w:r w:rsidDel="00000000" w:rsidR="00000000" w:rsidRPr="00000000">
        <w:rPr>
          <w:rFonts w:ascii="Times New Roman" w:cs="Times New Roman" w:eastAsia="Times New Roman" w:hAnsi="Times New Roman"/>
          <w:sz w:val="24"/>
          <w:szCs w:val="24"/>
          <w:highlight w:val="white"/>
          <w:rtl w:val="0"/>
        </w:rPr>
        <w:t xml:space="preserve">0.3588197057 (CI 0.08873281868) with </w:t>
      </w:r>
      <w:r w:rsidDel="00000000" w:rsidR="00000000" w:rsidRPr="00000000">
        <w:rPr>
          <w:rFonts w:ascii="Times New Roman" w:cs="Times New Roman" w:eastAsia="Times New Roman" w:hAnsi="Times New Roman"/>
          <w:sz w:val="24"/>
          <w:szCs w:val="24"/>
          <w:rtl w:val="0"/>
        </w:rPr>
        <w:t xml:space="preserve">P &lt;0.05. The Kaplan-Meier curves demonstrate longer survival and less mortality for patients with atrial fibrillation on anticoagulation.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Conclusions: </w:t>
      </w:r>
      <w:r w:rsidDel="00000000" w:rsidR="00000000" w:rsidRPr="00000000">
        <w:rPr>
          <w:rFonts w:ascii="Times New Roman" w:cs="Times New Roman" w:eastAsia="Times New Roman" w:hAnsi="Times New Roman"/>
          <w:sz w:val="24"/>
          <w:szCs w:val="24"/>
          <w:rtl w:val="0"/>
        </w:rPr>
        <w:t xml:space="preserve">The predictive power of the  CHA2DS2-VASc score was relatively low. Our current results show that the CHA2DS2-VASc score had a statistically significant hazard ratio, meaning that a score &gt;4 had increased mortality. Patients on anticoagulation had less mortality than patients not on anticoagulation. Going forward, physicians should opt for anticoagulation in patients with atrial fibrillation unless it is absolutely contraindicated.</w:t>
      </w:r>
    </w:p>
    <w:p w:rsidR="00000000" w:rsidDel="00000000" w:rsidP="00000000" w:rsidRDefault="00000000" w:rsidRPr="00000000" w14:paraId="00000012">
      <w:pPr>
        <w:spacing w:after="40" w:line="2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Ischemic bowel disease consists of ischemic colitis , acute mesenteric ischemic and chronic mesenteric ischemia. The major etiology of intestinal ischemia is secondary to arterial embolism or arterial thrombosis in  50-75% of cases (20,21). Ischemic bowel disease is a frequently misdiagnosed and overlooked disease because of its non-specific clinical manifestations in the early course of the disease and oftentimes throughout the latter course of disease. Thus, ischemic bowel disease has remained a diagnostic challenge for physicians [2]. </w:t>
      </w:r>
      <w:r w:rsidDel="00000000" w:rsidR="00000000" w:rsidRPr="00000000">
        <w:rPr>
          <w:rFonts w:ascii="Times New Roman" w:cs="Times New Roman" w:eastAsia="Times New Roman" w:hAnsi="Times New Roman"/>
          <w:sz w:val="24"/>
          <w:szCs w:val="24"/>
          <w:highlight w:val="white"/>
          <w:rtl w:val="0"/>
        </w:rPr>
        <w:t xml:space="preserve">Mesenteric ischemia, a subset of </w:t>
      </w:r>
      <w:r w:rsidDel="00000000" w:rsidR="00000000" w:rsidRPr="00000000">
        <w:rPr>
          <w:rFonts w:ascii="Times New Roman" w:cs="Times New Roman" w:eastAsia="Times New Roman" w:hAnsi="Times New Roman"/>
          <w:sz w:val="24"/>
          <w:szCs w:val="24"/>
          <w:rtl w:val="0"/>
        </w:rPr>
        <w:t xml:space="preserve">ischemic bowel disease </w:t>
      </w:r>
      <w:r w:rsidDel="00000000" w:rsidR="00000000" w:rsidRPr="00000000">
        <w:rPr>
          <w:rFonts w:ascii="Times New Roman" w:cs="Times New Roman" w:eastAsia="Times New Roman" w:hAnsi="Times New Roman"/>
          <w:sz w:val="24"/>
          <w:szCs w:val="24"/>
          <w:highlight w:val="white"/>
          <w:rtl w:val="0"/>
        </w:rPr>
        <w:t xml:space="preserve"> is a gastrointestinal emergency and contributes to catastrophic outcomes including high mortality rate if the diagnosis is  delayed or inappropriately managed [3]. The underlying pathophysiology of mesenteric ischemia is a mismatch of vascular supply and demand of the intestine [3]. The etiology of </w:t>
      </w:r>
      <w:r w:rsidDel="00000000" w:rsidR="00000000" w:rsidRPr="00000000">
        <w:rPr>
          <w:rFonts w:ascii="Times New Roman" w:cs="Times New Roman" w:eastAsia="Times New Roman" w:hAnsi="Times New Roman"/>
          <w:sz w:val="24"/>
          <w:szCs w:val="24"/>
          <w:rtl w:val="0"/>
        </w:rPr>
        <w:t xml:space="preserve">Ischemic bowel disease</w:t>
      </w:r>
      <w:r w:rsidDel="00000000" w:rsidR="00000000" w:rsidRPr="00000000">
        <w:rPr>
          <w:rFonts w:ascii="Times New Roman" w:cs="Times New Roman" w:eastAsia="Times New Roman" w:hAnsi="Times New Roman"/>
          <w:sz w:val="24"/>
          <w:szCs w:val="24"/>
          <w:highlight w:val="white"/>
          <w:rtl w:val="0"/>
        </w:rPr>
        <w:t xml:space="preserve">, for a significant number of patients, is secondary to atrial fibrillation. There are a multitude of complications associated with atrial fibrillation, an important one being cerebrovascular accident, which is  independently a leading cause of morbidity and mortality worldwide [3]. The incidence of  cerebrovascular accidents is also increasing, and stroke specifically associated with atrial fibrillation leads to severe neurological deficits with a death rate of around 70% [3, 6]. The introduction of the </w:t>
      </w:r>
      <w:r w:rsidDel="00000000" w:rsidR="00000000" w:rsidRPr="00000000">
        <w:rPr>
          <w:rFonts w:ascii="Times New Roman" w:cs="Times New Roman" w:eastAsia="Times New Roman" w:hAnsi="Times New Roman"/>
          <w:sz w:val="24"/>
          <w:szCs w:val="24"/>
          <w:rtl w:val="0"/>
        </w:rPr>
        <w:t xml:space="preserve">CHA2DS2-VASc score has </w:t>
      </w:r>
      <w:r w:rsidDel="00000000" w:rsidR="00000000" w:rsidRPr="00000000">
        <w:rPr>
          <w:rFonts w:ascii="Times New Roman" w:cs="Times New Roman" w:eastAsia="Times New Roman" w:hAnsi="Times New Roman"/>
          <w:sz w:val="24"/>
          <w:szCs w:val="24"/>
          <w:highlight w:val="white"/>
          <w:rtl w:val="0"/>
        </w:rPr>
        <w:t xml:space="preserve">proved to be of high predictability for calculating the stroke risk for patients with atrial fibrillation [3]. This paper aims to analyze the use of the </w:t>
      </w:r>
      <w:r w:rsidDel="00000000" w:rsidR="00000000" w:rsidRPr="00000000">
        <w:rPr>
          <w:rFonts w:ascii="Times New Roman" w:cs="Times New Roman" w:eastAsia="Times New Roman" w:hAnsi="Times New Roman"/>
          <w:sz w:val="24"/>
          <w:szCs w:val="24"/>
          <w:rtl w:val="0"/>
        </w:rPr>
        <w:t xml:space="preserve">CHA2DS2-VASc score as a predictor of morbidity and mortality among patients who developed Ischemic bowel disease  secondary to atrial fibrillation. </w:t>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Approximately half of all cases of  intestinal ischemia is caused by  occlusive or nonocclusive disease [4]. Occlusive disease may result from arterial thrombosis, arterial embolism, or venous thrombosis. Arterial occlusion is caused as frequently by thrombus as by embolus [4]. In our study we examined clinically significant occlusive and nonocclusive disease, i.e. symptomatic patients who are hospitalized. Even with immediate aggressive intervention,  these cases are associated with a mortality rate of 33%.[4]. Thus, there is a need for screening tools to  diagnose ischemic  bowel disease earlier. Hence, our study will analyze both the role of CHA2DS2-VASc score as a predictor of higher mortality, i.e. if a higher CHA2DS2-VASc score is associated with higher mortality among this patient population; as well as to evaluate whether being on anticoagulation is associated with a lower mortality for patients with ischemic bowel disease and atrial fibrillation. Perhaps a higher CHA2DS2-VASc can be used to screen patients more aggressively for ischemic bowel; patients not on anticoagulation could also be considered higher risk and screened earlier.</w:t>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Nonvalvular atrial fibrillation  is the most common cardiac arrhythmia, with an overall prevalence of approximately 1% [8]. The risk factors of atrial fibrillation are variable and include valvular heart disease, cardiomyopathy, congenital heart disease, and thyroid dysfunction[9]. Atrial fibrillation is an arrhythmia whose risk increases significantly with age [6]. Consequently, the prevalence of atrial fibrillation  is continually increasing due to the aging of the population. Atrial fibrillation affects 1–2% of the general population, but this value is likely underestimated due to its asymptomatic course [6]. In the Rotterdam study involving the European population, the overall prevalence of atrial fibrillation was estimated to be as high as 5.5%, including up to 17.8% prevalence in adults over 85 years of age and the lifetime risk of atrial fibrillation in men and women above 55 years of age was estimated at 24.8% and 22.9%, respectively [6]. The Framingham Heart Study analyzed the impact of atrial fibrillation on the risk of stroke with increasing age, in the American population, and  placed the incidence of non-rheumatic atrial fibrillation at 0.5% in the age group of 50–60 years, and 8.8%  in the age group over 80 years [6].  With regards to atrial fibrillation and associated mortality,  approximately 80% of embolism-related deaths are from stroke and 20% from other systemic thromboembolism [8]. The 20% of death resulting from systemic thromboembolism includes ischemic bowel disease and  is  significant.  Paroxysmal atrial fibrillation has not generated as much concern as permanent atrial fibrillation, although no significant differences in thromboembolic event rates between atrial fibrillation types exist [5]. The diagnosis of cerebrovascular accidents is readily made, in part due to the  advancement of imaging modalities  (</w:t>
      </w:r>
      <w:r w:rsidDel="00000000" w:rsidR="00000000" w:rsidRPr="00000000">
        <w:rPr>
          <w:rFonts w:ascii="Times New Roman" w:cs="Times New Roman" w:eastAsia="Times New Roman" w:hAnsi="Times New Roman"/>
          <w:sz w:val="24"/>
          <w:szCs w:val="24"/>
          <w:highlight w:val="white"/>
          <w:rtl w:val="0"/>
        </w:rPr>
        <w:t xml:space="preserve">magnetic resonance imaging and computed tomography</w:t>
      </w:r>
      <w:r w:rsidDel="00000000" w:rsidR="00000000" w:rsidRPr="00000000">
        <w:rPr>
          <w:rFonts w:ascii="Times New Roman" w:cs="Times New Roman" w:eastAsia="Times New Roman" w:hAnsi="Times New Roman"/>
          <w:sz w:val="24"/>
          <w:szCs w:val="24"/>
          <w:rtl w:val="0"/>
        </w:rPr>
        <w:t xml:space="preserve">), whereas the diagnosis of ischemic bowel disease remains much more challenging even on imaging. </w:t>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Currently, many physicians and researchers stress the importance of utilizing clinical suspicion in diagnosing patients with acute intestinal ischemia. In one particular study, the rate of suspected acute intestinal ischemia prior to imaging was 31%. The diagnosis  likely could have been detected in approximately  97% of radiology reports if the clinician had mentioned to the radiologist, that  intestinal ischemia was part of the differential diagnoses. When the suspected diagnosis was not mentioned, the rate of detection was much lower at  81% (P=0.04). [10] Early in the course of massive intestinal infarction, only minimal symptoms may be present: leukocytosis, pain, and confusion may predominate, gastrointestinal bleeding may not be present and abdominal findings are frequently nonspecific [4]. Therefore, prompt diagnosis of acute intestinal ischemia requires a high index of suspicion and awareness of predisposing conditions, including atrial fibrillation[4]. Today, the diagnosis of Atrial fibrillation can often be made reliably with a few exceptions: the ability of echocardiography to detect left atrial appendage thrombi is limited as it oftentimes does  not provide ample visualization[15]. However, if clinicians could aggressively risk stratify patients with atrial fibrillation with the </w:t>
      </w:r>
      <w:r w:rsidDel="00000000" w:rsidR="00000000" w:rsidRPr="00000000">
        <w:rPr>
          <w:rFonts w:ascii="Times New Roman" w:cs="Times New Roman" w:eastAsia="Times New Roman" w:hAnsi="Times New Roman"/>
          <w:sz w:val="24"/>
          <w:szCs w:val="24"/>
          <w:rtl w:val="0"/>
        </w:rPr>
        <w:t xml:space="preserve">CHA2DS2-VASc score and have a higher index of suspicion for patients with a higher CHA2DS2-VASc score, this could potentially significantly increase detection of intestinal ischemia and diagnose it earlier. While clinical symptoms and biological markers of tissue ischemia and acute cell lysis may commonly suggest the diagnosis of mesenteric ischemia, but clearly lack sensitivity and specificity in this setting [12]</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Recently the mortality rate for acute mesenteric ischemia had remained close to 80%, despite radiological and surgical advances over the past half century [2]. As mentioned previously, the persistently high mortality rate has been attributed: to the failure in establishing the diagnosis before intestinal gangrene begins; to the high incidence of nonocclusive mesenteric ischemia, and to the progression of bowel infarction even after the primary cause has been corrected [4]. </w:t>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 addition to the importance of changing operative and interventional techniques, the medical management of atrial fibrillation and atherosclerotic disease has changed dramatically over the last decade [11]</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Data from multiple national studies have demonstrated a considerable overall increase in the prevalence of statin, antiplatelet, and anticoagulation use over time. However, the use of anticoagulation and antiplatelet therapy,  has since  plateaued in more recent years. Several studies have also  found significant increases in the utilization of ablation, cardioversion, and amiodarone in an effort to maintain sinus rhythm [11]. These combined efforts have been utilized in an attempt to decrease the prevalence of atrial fibrillation and to reduce the risk of adverse cardiovascular and thromboembolic events (particularly embolic events in patients with atrial fibrillation) [11]. Despite many case reports, randomized trials, advances in surgical and interventional treatments, mortality for ischemic bowel disease associated with atrial fibrillation remains high.</w:t>
      </w:r>
      <w:r w:rsidDel="00000000" w:rsidR="00000000" w:rsidRPr="00000000">
        <w:rPr>
          <w:rtl w:val="0"/>
        </w:rPr>
      </w:r>
    </w:p>
    <w:p w:rsidR="00000000" w:rsidDel="00000000" w:rsidP="00000000" w:rsidRDefault="00000000" w:rsidRPr="00000000" w14:paraId="0000001C">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Previously, there have minimal human studies examining the predictive role of CHA2DS2-VASc score on outcomes for mesenteric ischemia secondary to atrial fibrillation. There have been a few studies which have examined the CHA2DS2-VASc score and its relationship to the incidence of ischemic bowel disease among patients with atrial fibrillation. One retrospective observational study revealed that a CHA2DS2-VASc score &gt;2 predicted significantly worse outcomes for mesenteric ischemia secondary to atrial fibrillation [1]. The specific scores, i.e. 3, 4, 5, etc., however, have not been used to predict outcomes and to examine if a higher score itself correlates to a worse outcome [1]. There is also minimal data on examination of mortality among patients with ischemic bowel disease and atrial fibrillation who are either on full-dose anticoagulation, with warfarin, rivaroxaban, dabigatran, or apixaban, versus those not on anticoagulation. Previous studies have also been limited by not including other risk factors in analysis, such as alcohol use, physical activity level, smoking, etc.  We believe this is important data because intestinal ischemia remains one of the most lethal and fatal conditions with high levels or mortality. </w:t>
      </w:r>
    </w:p>
    <w:p w:rsidR="00000000" w:rsidDel="00000000" w:rsidP="00000000" w:rsidRDefault="00000000" w:rsidRPr="00000000" w14:paraId="0000001E">
      <w:pPr>
        <w:pStyle w:val="Heading3"/>
        <w:keepNext w:val="0"/>
        <w:keepLines w:val="0"/>
        <w:pBdr>
          <w:top w:color="000000" w:space="5" w:sz="0" w:val="none"/>
        </w:pBdr>
        <w:spacing w:after="40" w:before="0" w:line="294" w:lineRule="auto"/>
        <w:rPr>
          <w:rFonts w:ascii="Times New Roman" w:cs="Times New Roman" w:eastAsia="Times New Roman" w:hAnsi="Times New Roman"/>
          <w:b w:val="1"/>
          <w:color w:val="000000"/>
          <w:sz w:val="24"/>
          <w:szCs w:val="24"/>
        </w:rPr>
      </w:pPr>
      <w:bookmarkStart w:colFirst="0" w:colLast="0" w:name="_3znysh7" w:id="3"/>
      <w:bookmarkEnd w:id="3"/>
      <w:r w:rsidDel="00000000" w:rsidR="00000000" w:rsidRPr="00000000">
        <w:rPr>
          <w:rtl w:val="0"/>
        </w:rPr>
      </w:r>
    </w:p>
    <w:p w:rsidR="00000000" w:rsidDel="00000000" w:rsidP="00000000" w:rsidRDefault="00000000" w:rsidRPr="00000000" w14:paraId="0000001F">
      <w:pPr>
        <w:pStyle w:val="Heading3"/>
        <w:keepNext w:val="0"/>
        <w:keepLines w:val="0"/>
        <w:pBdr>
          <w:top w:color="000000" w:space="5" w:sz="0" w:val="none"/>
        </w:pBdr>
        <w:spacing w:after="40" w:before="0" w:line="294" w:lineRule="auto"/>
        <w:rPr>
          <w:rFonts w:ascii="Times New Roman" w:cs="Times New Roman" w:eastAsia="Times New Roman" w:hAnsi="Times New Roman"/>
          <w:color w:val="000000"/>
          <w:sz w:val="24"/>
          <w:szCs w:val="24"/>
        </w:rPr>
      </w:pPr>
      <w:bookmarkStart w:colFirst="0" w:colLast="0" w:name="_2et92p0" w:id="4"/>
      <w:bookmarkEnd w:id="4"/>
      <w:r w:rsidDel="00000000" w:rsidR="00000000" w:rsidRPr="00000000">
        <w:rPr>
          <w:rFonts w:ascii="Times New Roman" w:cs="Times New Roman" w:eastAsia="Times New Roman" w:hAnsi="Times New Roman"/>
          <w:b w:val="1"/>
          <w:color w:val="000000"/>
          <w:sz w:val="24"/>
          <w:szCs w:val="24"/>
          <w:rtl w:val="0"/>
        </w:rPr>
        <w:t xml:space="preserve">Methods</w:t>
      </w:r>
      <w:r w:rsidDel="00000000" w:rsidR="00000000" w:rsidRPr="00000000">
        <w:rPr>
          <w:rFonts w:ascii="Times New Roman" w:cs="Times New Roman" w:eastAsia="Times New Roman" w:hAnsi="Times New Roman"/>
          <w:color w:val="000000"/>
          <w:sz w:val="24"/>
          <w:szCs w:val="24"/>
          <w:rtl w:val="0"/>
        </w:rPr>
        <w:tab/>
        <w:tab/>
        <w:tab/>
      </w:r>
    </w:p>
    <w:p w:rsidR="00000000" w:rsidDel="00000000" w:rsidP="00000000" w:rsidRDefault="00000000" w:rsidRPr="00000000" w14:paraId="00000020">
      <w:pPr>
        <w:pStyle w:val="Heading3"/>
        <w:keepNext w:val="0"/>
        <w:keepLines w:val="0"/>
        <w:pBdr>
          <w:top w:color="000000" w:space="5" w:sz="0" w:val="none"/>
        </w:pBdr>
        <w:spacing w:after="40" w:before="0" w:line="294" w:lineRule="auto"/>
        <w:rPr>
          <w:rFonts w:ascii="Times New Roman" w:cs="Times New Roman" w:eastAsia="Times New Roman" w:hAnsi="Times New Roman"/>
          <w:color w:val="000000"/>
          <w:sz w:val="24"/>
          <w:szCs w:val="24"/>
        </w:rPr>
      </w:pPr>
      <w:bookmarkStart w:colFirst="0" w:colLast="0" w:name="_tyjcwt" w:id="5"/>
      <w:bookmarkEnd w:id="5"/>
      <w:r w:rsidDel="00000000" w:rsidR="00000000" w:rsidRPr="00000000">
        <w:rPr>
          <w:rFonts w:ascii="Times New Roman" w:cs="Times New Roman" w:eastAsia="Times New Roman" w:hAnsi="Times New Roman"/>
          <w:color w:val="000000"/>
          <w:sz w:val="24"/>
          <w:szCs w:val="24"/>
          <w:rtl w:val="0"/>
        </w:rPr>
        <w:tab/>
        <w:tab/>
        <w:tab/>
        <w:tab/>
      </w:r>
    </w:p>
    <w:p w:rsidR="00000000" w:rsidDel="00000000" w:rsidP="00000000" w:rsidRDefault="00000000" w:rsidRPr="00000000" w14:paraId="00000021">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Data source</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r>
    </w:p>
    <w:p w:rsidR="00000000" w:rsidDel="00000000" w:rsidP="00000000" w:rsidRDefault="00000000" w:rsidRPr="00000000" w14:paraId="00000023">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retrospective cohort study used dataset from our hospital system in South New Jersey, and a  cohort of patients with ischemic bowel disease and atrial fibrillation was identified based on medical record numbers and International Classification of Diseases - version 10 codes. The study participants were followed up from the index date until they were no longer being followed at our health system or until the end of 06/30/18. This study was approved by the respective institutional review boards.</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r>
    </w:p>
    <w:p w:rsidR="00000000" w:rsidDel="00000000" w:rsidP="00000000" w:rsidRDefault="00000000" w:rsidRPr="00000000" w14:paraId="00000025">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Sampled participants</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r>
    </w:p>
    <w:p w:rsidR="00000000" w:rsidDel="00000000" w:rsidP="00000000" w:rsidRDefault="00000000" w:rsidRPr="00000000" w14:paraId="00000027">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evaluate the risk of ischemic bowel disease by the CHA2DS2-VASc  score, we established an atrial fibrillation cohort and looked for specific characteristics. The baseline characteristics for  cohort are listed in Table 1: </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tbl>
      <w:tblPr>
        <w:tblStyle w:val="Table1"/>
        <w:tblW w:w="936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trHeight w:val="520" w:hRule="atLeast"/>
        </w:trPr>
        <w:tc>
          <w:tcPr>
            <w:gridSpan w:val="2"/>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Table 1</w:t>
            </w:r>
          </w:p>
          <w:p w:rsidR="00000000" w:rsidDel="00000000" w:rsidP="00000000" w:rsidRDefault="00000000" w:rsidRPr="00000000" w14:paraId="0000002A">
            <w:pPr>
              <w:ind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Baseline Characteristics for Patient Group</w:t>
            </w:r>
          </w:p>
        </w:tc>
      </w:tr>
      <w:tr>
        <w:trPr>
          <w:trHeight w:val="520" w:hRule="atLeast"/>
        </w:trPr>
        <w:tc>
          <w:tcPr>
            <w:shd w:fill="auto" w:val="clear"/>
            <w:tcMar>
              <w:top w:w="100.0" w:type="dxa"/>
              <w:left w:w="100.0" w:type="dxa"/>
              <w:bottom w:w="100.0" w:type="dxa"/>
              <w:right w:w="100.0" w:type="dxa"/>
            </w:tcMar>
          </w:tcPr>
          <w:p w:rsidR="00000000" w:rsidDel="00000000" w:rsidP="00000000" w:rsidRDefault="00000000" w:rsidRPr="00000000" w14:paraId="0000002C">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Variable</w:t>
            </w:r>
          </w:p>
        </w:tc>
        <w:tc>
          <w:tcPr>
            <w:shd w:fill="auto" w:val="clear"/>
            <w:tcMar>
              <w:top w:w="100.0" w:type="dxa"/>
              <w:left w:w="100.0" w:type="dxa"/>
              <w:bottom w:w="100.0" w:type="dxa"/>
              <w:right w:w="100.0" w:type="dxa"/>
            </w:tcMar>
          </w:tcPr>
          <w:p w:rsidR="00000000" w:rsidDel="00000000" w:rsidP="00000000" w:rsidRDefault="00000000" w:rsidRPr="00000000" w14:paraId="0000002D">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Number n (%)</w:t>
            </w:r>
          </w:p>
        </w:tc>
      </w:tr>
      <w:tr>
        <w:tc>
          <w:tcPr>
            <w:shd w:fill="auto" w:val="clear"/>
            <w:tcMar>
              <w:top w:w="100.0" w:type="dxa"/>
              <w:left w:w="100.0" w:type="dxa"/>
              <w:bottom w:w="100.0" w:type="dxa"/>
              <w:right w:w="100.0" w:type="dxa"/>
            </w:tcMar>
          </w:tcPr>
          <w:p w:rsidR="00000000" w:rsidDel="00000000" w:rsidP="00000000" w:rsidRDefault="00000000" w:rsidRPr="00000000" w14:paraId="0000002E">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 year </w:t>
            </w:r>
          </w:p>
        </w:tc>
        <w:tc>
          <w:tcPr>
            <w:shd w:fill="auto" w:val="clear"/>
            <w:tcMar>
              <w:top w:w="100.0" w:type="dxa"/>
              <w:left w:w="100.0" w:type="dxa"/>
              <w:bottom w:w="100.0" w:type="dxa"/>
              <w:right w:w="100.0" w:type="dxa"/>
            </w:tcMar>
          </w:tcPr>
          <w:p w:rsidR="00000000" w:rsidDel="00000000" w:rsidP="00000000" w:rsidRDefault="00000000" w:rsidRPr="00000000" w14:paraId="0000002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w:t>
            </w:r>
          </w:p>
        </w:tc>
      </w:tr>
      <w:tr>
        <w:tc>
          <w:tcPr>
            <w:shd w:fill="auto" w:val="clear"/>
            <w:tcMar>
              <w:top w:w="100.0" w:type="dxa"/>
              <w:left w:w="100.0" w:type="dxa"/>
              <w:bottom w:w="100.0" w:type="dxa"/>
              <w:right w:w="100.0" w:type="dxa"/>
            </w:tcMar>
          </w:tcPr>
          <w:p w:rsidR="00000000" w:rsidDel="00000000" w:rsidP="00000000" w:rsidRDefault="00000000" w:rsidRPr="00000000" w14:paraId="0000003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&lt;64 </w:t>
            </w:r>
          </w:p>
        </w:tc>
        <w:tc>
          <w:tcPr>
            <w:shd w:fill="auto" w:val="clear"/>
            <w:tcMar>
              <w:top w:w="100.0" w:type="dxa"/>
              <w:left w:w="100.0" w:type="dxa"/>
              <w:bottom w:w="100.0" w:type="dxa"/>
              <w:right w:w="100.0" w:type="dxa"/>
            </w:tcMar>
          </w:tcPr>
          <w:p w:rsidR="00000000" w:rsidDel="00000000" w:rsidP="00000000" w:rsidRDefault="00000000" w:rsidRPr="00000000" w14:paraId="0000003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(20%)</w:t>
            </w:r>
          </w:p>
        </w:tc>
      </w:tr>
      <w:tr>
        <w:tc>
          <w:tcPr>
            <w:shd w:fill="auto" w:val="clear"/>
            <w:tcMar>
              <w:top w:w="100.0" w:type="dxa"/>
              <w:left w:w="100.0" w:type="dxa"/>
              <w:bottom w:w="100.0" w:type="dxa"/>
              <w:right w:w="100.0" w:type="dxa"/>
            </w:tcMar>
          </w:tcPr>
          <w:p w:rsidR="00000000" w:rsidDel="00000000" w:rsidP="00000000" w:rsidRDefault="00000000" w:rsidRPr="00000000" w14:paraId="0000003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65-74</w:t>
            </w:r>
          </w:p>
        </w:tc>
        <w:tc>
          <w:tcPr>
            <w:shd w:fill="auto" w:val="clear"/>
            <w:tcMar>
              <w:top w:w="100.0" w:type="dxa"/>
              <w:left w:w="100.0" w:type="dxa"/>
              <w:bottom w:w="100.0" w:type="dxa"/>
              <w:right w:w="100.0" w:type="dxa"/>
            </w:tcMar>
          </w:tcPr>
          <w:p w:rsidR="00000000" w:rsidDel="00000000" w:rsidP="00000000" w:rsidRDefault="00000000" w:rsidRPr="00000000" w14:paraId="0000003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(17%)</w:t>
            </w:r>
          </w:p>
        </w:tc>
      </w:tr>
      <w:tr>
        <w:tc>
          <w:tcPr>
            <w:shd w:fill="auto" w:val="clear"/>
            <w:tcMar>
              <w:top w:w="100.0" w:type="dxa"/>
              <w:left w:w="100.0" w:type="dxa"/>
              <w:bottom w:w="100.0" w:type="dxa"/>
              <w:right w:w="100.0" w:type="dxa"/>
            </w:tcMar>
          </w:tcPr>
          <w:p w:rsidR="00000000" w:rsidDel="00000000" w:rsidP="00000000" w:rsidRDefault="00000000" w:rsidRPr="00000000" w14:paraId="0000003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&gt;75 </w:t>
            </w:r>
          </w:p>
        </w:tc>
        <w:tc>
          <w:tcPr>
            <w:shd w:fill="auto" w:val="clear"/>
            <w:tcMar>
              <w:top w:w="100.0" w:type="dxa"/>
              <w:left w:w="100.0" w:type="dxa"/>
              <w:bottom w:w="100.0" w:type="dxa"/>
              <w:right w:w="100.0" w:type="dxa"/>
            </w:tcMar>
          </w:tcPr>
          <w:p w:rsidR="00000000" w:rsidDel="00000000" w:rsidP="00000000" w:rsidRDefault="00000000" w:rsidRPr="00000000" w14:paraId="0000003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(63%)</w:t>
            </w:r>
          </w:p>
        </w:tc>
      </w:tr>
      <w:tr>
        <w:tc>
          <w:tcPr>
            <w:shd w:fill="auto" w:val="clear"/>
            <w:tcMar>
              <w:top w:w="100.0" w:type="dxa"/>
              <w:left w:w="100.0" w:type="dxa"/>
              <w:bottom w:w="100.0" w:type="dxa"/>
              <w:right w:w="100.0" w:type="dxa"/>
            </w:tcMar>
          </w:tcPr>
          <w:p w:rsidR="00000000" w:rsidDel="00000000" w:rsidP="00000000" w:rsidRDefault="00000000" w:rsidRPr="00000000" w14:paraId="0000003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Mean+/-SD </w:t>
            </w:r>
          </w:p>
        </w:tc>
        <w:tc>
          <w:tcPr>
            <w:shd w:fill="auto" w:val="clear"/>
            <w:tcMar>
              <w:top w:w="100.0" w:type="dxa"/>
              <w:left w:w="100.0" w:type="dxa"/>
              <w:bottom w:w="100.0" w:type="dxa"/>
              <w:right w:w="100.0" w:type="dxa"/>
            </w:tcMar>
          </w:tcPr>
          <w:p w:rsidR="00000000" w:rsidDel="00000000" w:rsidP="00000000" w:rsidRDefault="00000000" w:rsidRPr="00000000" w14:paraId="0000003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77.7384615384615/11.831204665889</w:t>
            </w: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38">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Sex</w:t>
            </w:r>
          </w:p>
        </w:tc>
        <w:tc>
          <w:tcPr>
            <w:shd w:fill="auto" w:val="clear"/>
            <w:tcMar>
              <w:top w:w="100.0" w:type="dxa"/>
              <w:left w:w="100.0" w:type="dxa"/>
              <w:bottom w:w="100.0" w:type="dxa"/>
              <w:right w:w="100.0" w:type="dxa"/>
            </w:tcMar>
          </w:tcPr>
          <w:p w:rsidR="00000000" w:rsidDel="00000000" w:rsidP="00000000" w:rsidRDefault="00000000" w:rsidRPr="00000000" w14:paraId="00000039">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3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Male</w:t>
            </w:r>
          </w:p>
        </w:tc>
        <w:tc>
          <w:tcPr>
            <w:shd w:fill="auto" w:val="clear"/>
            <w:tcMar>
              <w:top w:w="100.0" w:type="dxa"/>
              <w:left w:w="100.0" w:type="dxa"/>
              <w:bottom w:w="100.0" w:type="dxa"/>
              <w:right w:w="100.0" w:type="dxa"/>
            </w:tcMar>
          </w:tcPr>
          <w:p w:rsidR="00000000" w:rsidDel="00000000" w:rsidP="00000000" w:rsidRDefault="00000000" w:rsidRPr="00000000" w14:paraId="0000003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(31%)</w:t>
            </w:r>
          </w:p>
        </w:tc>
      </w:tr>
      <w:tr>
        <w:tc>
          <w:tcPr>
            <w:shd w:fill="auto" w:val="clear"/>
            <w:tcMar>
              <w:top w:w="100.0" w:type="dxa"/>
              <w:left w:w="100.0" w:type="dxa"/>
              <w:bottom w:w="100.0" w:type="dxa"/>
              <w:right w:w="100.0" w:type="dxa"/>
            </w:tcMar>
          </w:tcPr>
          <w:p w:rsidR="00000000" w:rsidDel="00000000" w:rsidP="00000000" w:rsidRDefault="00000000" w:rsidRPr="00000000" w14:paraId="0000003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Female</w:t>
            </w:r>
          </w:p>
        </w:tc>
        <w:tc>
          <w:tcPr>
            <w:shd w:fill="auto" w:val="clear"/>
            <w:tcMar>
              <w:top w:w="100.0" w:type="dxa"/>
              <w:left w:w="100.0" w:type="dxa"/>
              <w:bottom w:w="100.0" w:type="dxa"/>
              <w:right w:w="100.0" w:type="dxa"/>
            </w:tcMar>
          </w:tcPr>
          <w:p w:rsidR="00000000" w:rsidDel="00000000" w:rsidP="00000000" w:rsidRDefault="00000000" w:rsidRPr="00000000" w14:paraId="0000003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(69%)</w:t>
            </w:r>
          </w:p>
        </w:tc>
      </w:tr>
      <w:tr>
        <w:trPr>
          <w:trHeight w:val="460" w:hRule="atLeast"/>
        </w:trPr>
        <w:tc>
          <w:tcPr>
            <w:shd w:fill="auto" w:val="clear"/>
            <w:tcMar>
              <w:top w:w="100.0" w:type="dxa"/>
              <w:left w:w="100.0" w:type="dxa"/>
              <w:bottom w:w="100.0" w:type="dxa"/>
              <w:right w:w="100.0" w:type="dxa"/>
            </w:tcMar>
          </w:tcPr>
          <w:p w:rsidR="00000000" w:rsidDel="00000000" w:rsidP="00000000" w:rsidRDefault="00000000" w:rsidRPr="00000000" w14:paraId="0000003E">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CHA2DS2-VASc Score</w:t>
            </w:r>
          </w:p>
        </w:tc>
        <w:tc>
          <w:tcPr>
            <w:shd w:fill="auto" w:val="clear"/>
            <w:tcMar>
              <w:top w:w="100.0" w:type="dxa"/>
              <w:left w:w="100.0" w:type="dxa"/>
              <w:bottom w:w="100.0" w:type="dxa"/>
              <w:right w:w="100.0" w:type="dxa"/>
            </w:tcMar>
          </w:tcPr>
          <w:p w:rsidR="00000000" w:rsidDel="00000000" w:rsidP="00000000" w:rsidRDefault="00000000" w:rsidRPr="00000000" w14:paraId="0000003F">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4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CHF</w:t>
            </w:r>
          </w:p>
        </w:tc>
        <w:tc>
          <w:tcPr>
            <w:shd w:fill="auto" w:val="clear"/>
            <w:tcMar>
              <w:top w:w="100.0" w:type="dxa"/>
              <w:left w:w="100.0" w:type="dxa"/>
              <w:bottom w:w="100.0" w:type="dxa"/>
              <w:right w:w="100.0" w:type="dxa"/>
            </w:tcMar>
          </w:tcPr>
          <w:p w:rsidR="00000000" w:rsidDel="00000000" w:rsidP="00000000" w:rsidRDefault="00000000" w:rsidRPr="00000000" w14:paraId="0000004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(26%)</w:t>
            </w:r>
          </w:p>
        </w:tc>
      </w:tr>
      <w:tr>
        <w:tc>
          <w:tcPr>
            <w:shd w:fill="auto" w:val="clear"/>
            <w:tcMar>
              <w:top w:w="100.0" w:type="dxa"/>
              <w:left w:w="100.0" w:type="dxa"/>
              <w:bottom w:w="100.0" w:type="dxa"/>
              <w:right w:w="100.0" w:type="dxa"/>
            </w:tcMar>
          </w:tcPr>
          <w:p w:rsidR="00000000" w:rsidDel="00000000" w:rsidP="00000000" w:rsidRDefault="00000000" w:rsidRPr="00000000" w14:paraId="0000004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HTN</w:t>
            </w:r>
          </w:p>
        </w:tc>
        <w:tc>
          <w:tcPr>
            <w:shd w:fill="auto" w:val="clear"/>
            <w:tcMar>
              <w:top w:w="100.0" w:type="dxa"/>
              <w:left w:w="100.0" w:type="dxa"/>
              <w:bottom w:w="100.0" w:type="dxa"/>
              <w:right w:w="100.0" w:type="dxa"/>
            </w:tcMar>
          </w:tcPr>
          <w:p w:rsidR="00000000" w:rsidDel="00000000" w:rsidP="00000000" w:rsidRDefault="00000000" w:rsidRPr="00000000" w14:paraId="0000004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 (68%)</w:t>
            </w:r>
          </w:p>
        </w:tc>
      </w:tr>
      <w:tr>
        <w:tc>
          <w:tcPr>
            <w:shd w:fill="auto" w:val="clear"/>
            <w:tcMar>
              <w:top w:w="100.0" w:type="dxa"/>
              <w:left w:w="100.0" w:type="dxa"/>
              <w:bottom w:w="100.0" w:type="dxa"/>
              <w:right w:w="100.0" w:type="dxa"/>
            </w:tcMar>
          </w:tcPr>
          <w:p w:rsidR="00000000" w:rsidDel="00000000" w:rsidP="00000000" w:rsidRDefault="00000000" w:rsidRPr="00000000" w14:paraId="0000004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Diabetes mellitus</w:t>
            </w:r>
          </w:p>
        </w:tc>
        <w:tc>
          <w:tcPr>
            <w:shd w:fill="auto" w:val="clear"/>
            <w:tcMar>
              <w:top w:w="100.0" w:type="dxa"/>
              <w:left w:w="100.0" w:type="dxa"/>
              <w:bottom w:w="100.0" w:type="dxa"/>
              <w:right w:w="100.0" w:type="dxa"/>
            </w:tcMar>
          </w:tcPr>
          <w:p w:rsidR="00000000" w:rsidDel="00000000" w:rsidP="00000000" w:rsidRDefault="00000000" w:rsidRPr="00000000" w14:paraId="0000004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(34%)</w:t>
            </w:r>
          </w:p>
        </w:tc>
      </w:tr>
      <w:tr>
        <w:tc>
          <w:tcPr>
            <w:shd w:fill="auto" w:val="clear"/>
            <w:tcMar>
              <w:top w:w="100.0" w:type="dxa"/>
              <w:left w:w="100.0" w:type="dxa"/>
              <w:bottom w:w="100.0" w:type="dxa"/>
              <w:right w:w="100.0" w:type="dxa"/>
            </w:tcMar>
          </w:tcPr>
          <w:p w:rsidR="00000000" w:rsidDel="00000000" w:rsidP="00000000" w:rsidRDefault="00000000" w:rsidRPr="00000000" w14:paraId="0000004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Vascular Disease</w:t>
            </w:r>
          </w:p>
        </w:tc>
        <w:tc>
          <w:tcPr>
            <w:shd w:fill="auto" w:val="clear"/>
            <w:tcMar>
              <w:top w:w="100.0" w:type="dxa"/>
              <w:left w:w="100.0" w:type="dxa"/>
              <w:bottom w:w="100.0" w:type="dxa"/>
              <w:right w:w="100.0" w:type="dxa"/>
            </w:tcMar>
          </w:tcPr>
          <w:p w:rsidR="00000000" w:rsidDel="00000000" w:rsidP="00000000" w:rsidRDefault="00000000" w:rsidRPr="00000000" w14:paraId="0000004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(54%)</w:t>
            </w:r>
          </w:p>
        </w:tc>
      </w:tr>
      <w:tr>
        <w:tc>
          <w:tcPr>
            <w:shd w:fill="auto" w:val="clear"/>
            <w:tcMar>
              <w:top w:w="100.0" w:type="dxa"/>
              <w:left w:w="100.0" w:type="dxa"/>
              <w:bottom w:w="100.0" w:type="dxa"/>
              <w:right w:w="100.0" w:type="dxa"/>
            </w:tcMar>
          </w:tcPr>
          <w:p w:rsidR="00000000" w:rsidDel="00000000" w:rsidP="00000000" w:rsidRDefault="00000000" w:rsidRPr="00000000" w14:paraId="00000048">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Mean Cr</w:t>
            </w:r>
          </w:p>
        </w:tc>
        <w:tc>
          <w:tcPr>
            <w:shd w:fill="auto" w:val="clear"/>
            <w:tcMar>
              <w:top w:w="100.0" w:type="dxa"/>
              <w:left w:w="100.0" w:type="dxa"/>
              <w:bottom w:w="100.0" w:type="dxa"/>
              <w:right w:w="100.0" w:type="dxa"/>
            </w:tcMar>
          </w:tcPr>
          <w:p w:rsidR="00000000" w:rsidDel="00000000" w:rsidP="00000000" w:rsidRDefault="00000000" w:rsidRPr="00000000" w14:paraId="0000004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1.65184615384615/1.26663788766227</w:t>
            </w: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4A">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Mean CHA2DS2-VASc Score</w:t>
            </w:r>
          </w:p>
        </w:tc>
        <w:tc>
          <w:tcPr>
            <w:shd w:fill="auto" w:val="clear"/>
            <w:tcMar>
              <w:top w:w="100.0" w:type="dxa"/>
              <w:left w:w="100.0" w:type="dxa"/>
              <w:bottom w:w="100.0" w:type="dxa"/>
              <w:right w:w="100.0" w:type="dxa"/>
            </w:tcMar>
          </w:tcPr>
          <w:p w:rsidR="00000000" w:rsidDel="00000000" w:rsidP="00000000" w:rsidRDefault="00000000" w:rsidRPr="00000000" w14:paraId="0000004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4.24615384615385/1.87941787223106</w:t>
            </w: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4C">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Mean follow-up, y</w:t>
            </w:r>
          </w:p>
        </w:tc>
        <w:tc>
          <w:tcPr>
            <w:shd w:fill="auto" w:val="clear"/>
            <w:tcMar>
              <w:top w:w="100.0" w:type="dxa"/>
              <w:left w:w="100.0" w:type="dxa"/>
              <w:bottom w:w="100.0" w:type="dxa"/>
              <w:right w:w="100.0" w:type="dxa"/>
            </w:tcMar>
          </w:tcPr>
          <w:p w:rsidR="00000000" w:rsidDel="00000000" w:rsidP="00000000" w:rsidRDefault="00000000" w:rsidRPr="00000000" w14:paraId="0000004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bl>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Study Endpoints:</w:t>
      </w:r>
    </w:p>
    <w:p w:rsidR="00000000" w:rsidDel="00000000" w:rsidP="00000000" w:rsidRDefault="00000000" w:rsidRPr="00000000" w14:paraId="00000051">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patients were followed for a total of 3 years: until death occurred, until the patients were lost to follow up, or until they were no longer followed in the hospital system. </w:t>
      </w:r>
    </w:p>
    <w:p w:rsidR="00000000" w:rsidDel="00000000" w:rsidP="00000000" w:rsidRDefault="00000000" w:rsidRPr="00000000" w14:paraId="00000052">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Statistical Analysis</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 </w:t>
        <w:tab/>
        <w:t xml:space="preserve"> </w:t>
        <w:tab/>
        <w:t xml:space="preserve"> </w:t>
        <w:tab/>
        <w:tab/>
        <w:tab/>
        <w:tab/>
        <w:tab/>
      </w:r>
    </w:p>
    <w:p w:rsidR="00000000" w:rsidDel="00000000" w:rsidP="00000000" w:rsidRDefault="00000000" w:rsidRPr="00000000" w14:paraId="00000055">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proportional distributions of demographic status, and the comorbidities were compared. The continuous data was compared with Student's t-test. The incidence density rates of mortality were calculated. To present the risk of mortality in patients with both atrial fibrillation and ischemic bowel disease stratified by all of the baseline variables, the hazard ratios (HRs) and 95% confidence intervals (CIs) were estimated with univariable and multivariable Cox proportional hazard models. Cumulative incidence curves of mortality were plotted with the Kaplan–Meier method, and the differences in curves between the group with anticoagulation versus the group without anticoagulation were examined using a log rank test. For the CHA2DS2-VASc score, this study also quantified the area under the curve for the ROC curve in order to determine if the CHA2DS2-VASc score could be a useful marker to predict morbidity and mortality for patients with both ischemic bowel disease and atrial fibrillation. All statistical analyses were performed using Microsoft excel, real statistics, and the analysis toolpak. The level of significance was set at 0.05 using a 2-tailed student t-test. </w:t>
      </w:r>
    </w:p>
    <w:p w:rsidR="00000000" w:rsidDel="00000000" w:rsidP="00000000" w:rsidRDefault="00000000" w:rsidRPr="00000000" w14:paraId="00000056">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ab/>
        <w:tab/>
        <w:tab/>
        <w:tab/>
        <w:tab/>
        <w:tab/>
      </w:r>
      <w:r w:rsidDel="00000000" w:rsidR="00000000" w:rsidRPr="00000000">
        <w:rPr>
          <w:rtl w:val="0"/>
        </w:rPr>
      </w:r>
    </w:p>
    <w:p w:rsidR="00000000" w:rsidDel="00000000" w:rsidP="00000000" w:rsidRDefault="00000000" w:rsidRPr="00000000" w14:paraId="00000057">
      <w:pPr>
        <w:spacing w:after="2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Design</w:t>
      </w:r>
    </w:p>
    <w:p w:rsidR="00000000" w:rsidDel="00000000" w:rsidP="00000000" w:rsidRDefault="00000000" w:rsidRPr="00000000" w14:paraId="00000058">
      <w:pPr>
        <w:spacing w:after="22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retrospective observational study, patient records were  reviewed and analyzed using qualitative methods. Secondary data collection was based upon data available from previous studies and current hospital databases. </w:t>
      </w:r>
    </w:p>
    <w:p w:rsidR="00000000" w:rsidDel="00000000" w:rsidP="00000000" w:rsidRDefault="00000000" w:rsidRPr="00000000" w14:paraId="00000059">
      <w:pPr>
        <w:spacing w:after="220" w:line="24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pStyle w:val="Heading3"/>
        <w:keepNext w:val="0"/>
        <w:keepLines w:val="0"/>
        <w:pBdr>
          <w:top w:color="000000" w:space="5" w:sz="0" w:val="none"/>
        </w:pBdr>
        <w:spacing w:after="40" w:before="0" w:line="294" w:lineRule="auto"/>
        <w:rPr>
          <w:rFonts w:ascii="Times New Roman" w:cs="Times New Roman" w:eastAsia="Times New Roman" w:hAnsi="Times New Roman"/>
          <w:b w:val="1"/>
          <w:color w:val="000000"/>
          <w:sz w:val="24"/>
          <w:szCs w:val="24"/>
        </w:rPr>
      </w:pPr>
      <w:bookmarkStart w:colFirst="0" w:colLast="0" w:name="_3dy6vkm" w:id="6"/>
      <w:bookmarkEnd w:id="6"/>
      <w:r w:rsidDel="00000000" w:rsidR="00000000" w:rsidRPr="00000000">
        <w:rPr>
          <w:rFonts w:ascii="Times New Roman" w:cs="Times New Roman" w:eastAsia="Times New Roman" w:hAnsi="Times New Roman"/>
          <w:b w:val="1"/>
          <w:color w:val="000000"/>
          <w:sz w:val="24"/>
          <w:szCs w:val="24"/>
          <w:rtl w:val="0"/>
        </w:rPr>
        <w:t xml:space="preserve">Results</w:t>
      </w:r>
    </w:p>
    <w:p w:rsidR="00000000" w:rsidDel="00000000" w:rsidP="00000000" w:rsidRDefault="00000000" w:rsidRPr="00000000" w14:paraId="0000005B">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total of 65 patients with both atrial fibrillation and ischemic bowel disease ( acute mesenteric ischemia, chronic ischemic bowel disease, etc.), were enrolled in this study at our hospital system comprising 3 different hospitals with 3 different patient populations. The majority of the patients were older than &gt;75 (63%), female (69%), and had established HTN (68%) [Table 1]. The mean CHA2DS2-VASc score was 4.25 with p value &lt;0.009.</w:t>
      </w:r>
    </w:p>
    <w:p w:rsidR="00000000" w:rsidDel="00000000" w:rsidP="00000000" w:rsidRDefault="00000000" w:rsidRPr="00000000" w14:paraId="0000005C">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cox proportional-hazards model (a regression model used for investigating the association between the survival time of patients and one or more predictor variables), was used to analyze the baseline characteristics of the patients via the real statistics software for excel. </w:t>
      </w:r>
      <w:r w:rsidDel="00000000" w:rsidR="00000000" w:rsidRPr="00000000">
        <w:rPr>
          <w:rFonts w:ascii="Times New Roman" w:cs="Times New Roman" w:eastAsia="Times New Roman" w:hAnsi="Times New Roman"/>
          <w:sz w:val="24"/>
          <w:szCs w:val="24"/>
          <w:rtl w:val="0"/>
        </w:rPr>
        <w:t xml:space="preserve">Cox regression analysis revealed the following characteristic in Table 2 for each patient: </w:t>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tl w:val="0"/>
        </w:rPr>
      </w:r>
    </w:p>
    <w:tbl>
      <w:tblPr>
        <w:tblStyle w:val="Table2"/>
        <w:tblW w:w="936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205"/>
        <w:gridCol w:w="2340"/>
        <w:gridCol w:w="2340"/>
        <w:tblGridChange w:id="0">
          <w:tblGrid>
            <w:gridCol w:w="2475"/>
            <w:gridCol w:w="2205"/>
            <w:gridCol w:w="2340"/>
            <w:gridCol w:w="2340"/>
          </w:tblGrid>
        </w:tblGridChange>
      </w:tblGrid>
      <w:tr>
        <w:trPr>
          <w:trHeight w:val="520" w:hRule="atLeast"/>
        </w:trPr>
        <w:tc>
          <w:tcPr>
            <w:gridSpan w:val="4"/>
            <w:shd w:fill="auto" w:val="clear"/>
            <w:tcMar>
              <w:top w:w="100.0" w:type="dxa"/>
              <w:left w:w="100.0" w:type="dxa"/>
              <w:bottom w:w="100.0" w:type="dxa"/>
              <w:right w:w="100.0" w:type="dxa"/>
            </w:tcMar>
          </w:tcPr>
          <w:p w:rsidR="00000000" w:rsidDel="00000000" w:rsidP="00000000" w:rsidRDefault="00000000" w:rsidRPr="00000000" w14:paraId="0000006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2</w:t>
            </w:r>
          </w:p>
          <w:p w:rsidR="00000000" w:rsidDel="00000000" w:rsidP="00000000" w:rsidRDefault="00000000" w:rsidRPr="00000000" w14:paraId="00000061">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Hazard Ratios, P-values, and Confidence Intervals for Baseline Characteristics </w:t>
            </w:r>
          </w:p>
        </w:tc>
      </w:tr>
      <w:tr>
        <w:trPr>
          <w:trHeight w:val="520" w:hRule="atLeast"/>
        </w:trPr>
        <w:tc>
          <w:tcPr>
            <w:shd w:fill="auto" w:val="clear"/>
            <w:tcMar>
              <w:top w:w="100.0" w:type="dxa"/>
              <w:left w:w="100.0" w:type="dxa"/>
              <w:bottom w:w="100.0" w:type="dxa"/>
              <w:right w:w="100.0" w:type="dxa"/>
            </w:tcMar>
          </w:tcPr>
          <w:p w:rsidR="00000000" w:rsidDel="00000000" w:rsidP="00000000" w:rsidRDefault="00000000" w:rsidRPr="00000000" w14:paraId="00000065">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Variable</w:t>
            </w:r>
          </w:p>
        </w:tc>
        <w:tc>
          <w:tcPr>
            <w:shd w:fill="auto" w:val="clear"/>
            <w:tcMar>
              <w:top w:w="100.0" w:type="dxa"/>
              <w:left w:w="100.0" w:type="dxa"/>
              <w:bottom w:w="100.0" w:type="dxa"/>
              <w:right w:w="100.0" w:type="dxa"/>
            </w:tcMar>
          </w:tcPr>
          <w:p w:rsidR="00000000" w:rsidDel="00000000" w:rsidP="00000000" w:rsidRDefault="00000000" w:rsidRPr="00000000" w14:paraId="00000066">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Number n (%)</w:t>
            </w:r>
          </w:p>
        </w:tc>
        <w:tc>
          <w:tcPr>
            <w:shd w:fill="auto" w:val="clear"/>
            <w:tcMar>
              <w:top w:w="100.0" w:type="dxa"/>
              <w:left w:w="100.0" w:type="dxa"/>
              <w:bottom w:w="100.0" w:type="dxa"/>
              <w:right w:w="100.0" w:type="dxa"/>
            </w:tcMar>
          </w:tcPr>
          <w:p w:rsidR="00000000" w:rsidDel="00000000" w:rsidP="00000000" w:rsidRDefault="00000000" w:rsidRPr="00000000" w14:paraId="00000067">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P-value </w:t>
            </w:r>
          </w:p>
        </w:tc>
        <w:tc>
          <w:tcPr>
            <w:shd w:fill="auto" w:val="clear"/>
            <w:tcMar>
              <w:top w:w="100.0" w:type="dxa"/>
              <w:left w:w="100.0" w:type="dxa"/>
              <w:bottom w:w="100.0" w:type="dxa"/>
              <w:right w:w="100.0" w:type="dxa"/>
            </w:tcMar>
          </w:tcPr>
          <w:p w:rsidR="00000000" w:rsidDel="00000000" w:rsidP="00000000" w:rsidRDefault="00000000" w:rsidRPr="00000000" w14:paraId="00000068">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HR w/ CI </w:t>
            </w:r>
          </w:p>
        </w:tc>
      </w:tr>
      <w:tr>
        <w:tc>
          <w:tcPr>
            <w:shd w:fill="auto" w:val="clear"/>
            <w:tcMar>
              <w:top w:w="100.0" w:type="dxa"/>
              <w:left w:w="100.0" w:type="dxa"/>
              <w:bottom w:w="100.0" w:type="dxa"/>
              <w:right w:w="100.0" w:type="dxa"/>
            </w:tcMar>
          </w:tcPr>
          <w:p w:rsidR="00000000" w:rsidDel="00000000" w:rsidP="00000000" w:rsidRDefault="00000000" w:rsidRPr="00000000" w14:paraId="0000006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Age, year</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tcPr>
          <w:p w:rsidR="00000000" w:rsidDel="00000000" w:rsidP="00000000" w:rsidRDefault="00000000" w:rsidRPr="00000000" w14:paraId="0000006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w:t>
            </w:r>
          </w:p>
        </w:tc>
        <w:tc>
          <w:tcPr>
            <w:shd w:fill="auto" w:val="clear"/>
            <w:tcMar>
              <w:top w:w="100.0" w:type="dxa"/>
              <w:left w:w="100.0" w:type="dxa"/>
              <w:bottom w:w="100.0" w:type="dxa"/>
              <w:right w:w="100.0" w:type="dxa"/>
            </w:tcMar>
          </w:tcPr>
          <w:p w:rsidR="00000000" w:rsidDel="00000000" w:rsidP="00000000" w:rsidRDefault="00000000" w:rsidRPr="00000000" w14:paraId="0000006B">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C">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6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&lt;64 </w:t>
            </w:r>
          </w:p>
        </w:tc>
        <w:tc>
          <w:tcPr>
            <w:shd w:fill="auto" w:val="clear"/>
            <w:tcMar>
              <w:top w:w="100.0" w:type="dxa"/>
              <w:left w:w="100.0" w:type="dxa"/>
              <w:bottom w:w="100.0" w:type="dxa"/>
              <w:right w:w="100.0" w:type="dxa"/>
            </w:tcMar>
          </w:tcPr>
          <w:p w:rsidR="00000000" w:rsidDel="00000000" w:rsidP="00000000" w:rsidRDefault="00000000" w:rsidRPr="00000000" w14:paraId="0000006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(20%)</w:t>
            </w:r>
          </w:p>
        </w:tc>
        <w:tc>
          <w:tcPr>
            <w:shd w:fill="auto" w:val="clear"/>
            <w:tcMar>
              <w:top w:w="100.0" w:type="dxa"/>
              <w:left w:w="100.0" w:type="dxa"/>
              <w:bottom w:w="100.0" w:type="dxa"/>
              <w:right w:w="100.0" w:type="dxa"/>
            </w:tcMar>
          </w:tcPr>
          <w:p w:rsidR="00000000" w:rsidDel="00000000" w:rsidP="00000000" w:rsidRDefault="00000000" w:rsidRPr="00000000" w14:paraId="0000006F">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0">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7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65-74</w:t>
            </w:r>
          </w:p>
        </w:tc>
        <w:tc>
          <w:tcPr>
            <w:shd w:fill="auto" w:val="clear"/>
            <w:tcMar>
              <w:top w:w="100.0" w:type="dxa"/>
              <w:left w:w="100.0" w:type="dxa"/>
              <w:bottom w:w="100.0" w:type="dxa"/>
              <w:right w:w="100.0" w:type="dxa"/>
            </w:tcMar>
          </w:tcPr>
          <w:p w:rsidR="00000000" w:rsidDel="00000000" w:rsidP="00000000" w:rsidRDefault="00000000" w:rsidRPr="00000000" w14:paraId="0000007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(17%)</w:t>
            </w:r>
          </w:p>
        </w:tc>
        <w:tc>
          <w:tcPr>
            <w:shd w:fill="auto" w:val="clear"/>
            <w:tcMar>
              <w:top w:w="100.0" w:type="dxa"/>
              <w:left w:w="100.0" w:type="dxa"/>
              <w:bottom w:w="100.0" w:type="dxa"/>
              <w:right w:w="100.0" w:type="dxa"/>
            </w:tcMar>
          </w:tcPr>
          <w:p w:rsidR="00000000" w:rsidDel="00000000" w:rsidP="00000000" w:rsidRDefault="00000000" w:rsidRPr="00000000" w14:paraId="00000073">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4">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7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&gt;75 </w:t>
            </w:r>
          </w:p>
        </w:tc>
        <w:tc>
          <w:tcPr>
            <w:shd w:fill="auto" w:val="clear"/>
            <w:tcMar>
              <w:top w:w="100.0" w:type="dxa"/>
              <w:left w:w="100.0" w:type="dxa"/>
              <w:bottom w:w="100.0" w:type="dxa"/>
              <w:right w:w="100.0" w:type="dxa"/>
            </w:tcMar>
          </w:tcPr>
          <w:p w:rsidR="00000000" w:rsidDel="00000000" w:rsidP="00000000" w:rsidRDefault="00000000" w:rsidRPr="00000000" w14:paraId="0000007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(63%)</w:t>
            </w:r>
          </w:p>
        </w:tc>
        <w:tc>
          <w:tcPr>
            <w:shd w:fill="auto" w:val="clear"/>
            <w:tcMar>
              <w:top w:w="100.0" w:type="dxa"/>
              <w:left w:w="100.0" w:type="dxa"/>
              <w:bottom w:w="100.0" w:type="dxa"/>
              <w:right w:w="100.0" w:type="dxa"/>
            </w:tcMar>
          </w:tcPr>
          <w:p w:rsidR="00000000" w:rsidDel="00000000" w:rsidP="00000000" w:rsidRDefault="00000000" w:rsidRPr="00000000" w14:paraId="00000077">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8">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7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Mean+/-SD </w:t>
            </w:r>
          </w:p>
        </w:tc>
        <w:tc>
          <w:tcPr>
            <w:shd w:fill="auto" w:val="clear"/>
            <w:tcMar>
              <w:top w:w="100.0" w:type="dxa"/>
              <w:left w:w="100.0" w:type="dxa"/>
              <w:bottom w:w="100.0" w:type="dxa"/>
              <w:right w:w="100.0" w:type="dxa"/>
            </w:tcMar>
          </w:tcPr>
          <w:p w:rsidR="00000000" w:rsidDel="00000000" w:rsidP="00000000" w:rsidRDefault="00000000" w:rsidRPr="00000000" w14:paraId="0000007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77.7384615384615/11.831204665889</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0.87</w:t>
            </w:r>
          </w:p>
        </w:tc>
        <w:tc>
          <w:tcPr>
            <w:shd w:fill="auto" w:val="clear"/>
            <w:tcMar>
              <w:top w:w="100.0" w:type="dxa"/>
              <w:left w:w="100.0" w:type="dxa"/>
              <w:bottom w:w="100.0" w:type="dxa"/>
              <w:right w:w="100.0" w:type="dxa"/>
            </w:tcMar>
          </w:tcPr>
          <w:p w:rsidR="00000000" w:rsidDel="00000000" w:rsidP="00000000" w:rsidRDefault="00000000" w:rsidRPr="00000000" w14:paraId="0000007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0.99 (0.96-1.04)</w:t>
            </w:r>
          </w:p>
        </w:tc>
      </w:tr>
      <w:tr>
        <w:tc>
          <w:tcPr>
            <w:shd w:fill="auto" w:val="clear"/>
            <w:tcMar>
              <w:top w:w="100.0" w:type="dxa"/>
              <w:left w:w="100.0" w:type="dxa"/>
              <w:bottom w:w="100.0" w:type="dxa"/>
              <w:right w:w="100.0" w:type="dxa"/>
            </w:tcMar>
          </w:tcPr>
          <w:p w:rsidR="00000000" w:rsidDel="00000000" w:rsidP="00000000" w:rsidRDefault="00000000" w:rsidRPr="00000000" w14:paraId="0000007D">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Sex</w:t>
            </w:r>
          </w:p>
        </w:tc>
        <w:tc>
          <w:tcPr>
            <w:shd w:fill="auto" w:val="clear"/>
            <w:tcMar>
              <w:top w:w="100.0" w:type="dxa"/>
              <w:left w:w="100.0" w:type="dxa"/>
              <w:bottom w:w="100.0" w:type="dxa"/>
              <w:right w:w="100.0" w:type="dxa"/>
            </w:tcMar>
          </w:tcPr>
          <w:p w:rsidR="00000000" w:rsidDel="00000000" w:rsidP="00000000" w:rsidRDefault="00000000" w:rsidRPr="00000000" w14:paraId="0000007E">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F">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0">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8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Male</w:t>
            </w:r>
          </w:p>
        </w:tc>
        <w:tc>
          <w:tcPr>
            <w:shd w:fill="auto" w:val="clear"/>
            <w:tcMar>
              <w:top w:w="100.0" w:type="dxa"/>
              <w:left w:w="100.0" w:type="dxa"/>
              <w:bottom w:w="100.0" w:type="dxa"/>
              <w:right w:w="100.0" w:type="dxa"/>
            </w:tcMar>
          </w:tcPr>
          <w:p w:rsidR="00000000" w:rsidDel="00000000" w:rsidP="00000000" w:rsidRDefault="00000000" w:rsidRPr="00000000" w14:paraId="0000008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(31%)</w:t>
            </w:r>
          </w:p>
        </w:tc>
        <w:tc>
          <w:tcPr>
            <w:shd w:fill="auto" w:val="clear"/>
            <w:tcMar>
              <w:top w:w="100.0" w:type="dxa"/>
              <w:left w:w="100.0" w:type="dxa"/>
              <w:bottom w:w="100.0" w:type="dxa"/>
              <w:right w:w="100.0" w:type="dxa"/>
            </w:tcMar>
          </w:tcPr>
          <w:p w:rsidR="00000000" w:rsidDel="00000000" w:rsidP="00000000" w:rsidRDefault="00000000" w:rsidRPr="00000000" w14:paraId="00000083">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4">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8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Female</w:t>
            </w:r>
          </w:p>
        </w:tc>
        <w:tc>
          <w:tcPr>
            <w:shd w:fill="auto" w:val="clear"/>
            <w:tcMar>
              <w:top w:w="100.0" w:type="dxa"/>
              <w:left w:w="100.0" w:type="dxa"/>
              <w:bottom w:w="100.0" w:type="dxa"/>
              <w:right w:w="100.0" w:type="dxa"/>
            </w:tcMar>
          </w:tcPr>
          <w:p w:rsidR="00000000" w:rsidDel="00000000" w:rsidP="00000000" w:rsidRDefault="00000000" w:rsidRPr="00000000" w14:paraId="0000008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(69%)</w:t>
            </w:r>
          </w:p>
        </w:tc>
        <w:tc>
          <w:tcPr>
            <w:shd w:fill="auto" w:val="clear"/>
            <w:tcMar>
              <w:top w:w="100.0" w:type="dxa"/>
              <w:left w:w="100.0" w:type="dxa"/>
              <w:bottom w:w="100.0" w:type="dxa"/>
              <w:right w:w="100.0" w:type="dxa"/>
            </w:tcMar>
          </w:tcPr>
          <w:p w:rsidR="00000000" w:rsidDel="00000000" w:rsidP="00000000" w:rsidRDefault="00000000" w:rsidRPr="00000000" w14:paraId="0000008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w:t>
            </w:r>
          </w:p>
        </w:tc>
        <w:tc>
          <w:tcPr>
            <w:shd w:fill="auto" w:val="clear"/>
            <w:tcMar>
              <w:top w:w="100.0" w:type="dxa"/>
              <w:left w:w="100.0" w:type="dxa"/>
              <w:bottom w:w="100.0" w:type="dxa"/>
              <w:right w:w="100.0" w:type="dxa"/>
            </w:tcMar>
          </w:tcPr>
          <w:p w:rsidR="00000000" w:rsidDel="00000000" w:rsidP="00000000" w:rsidRDefault="00000000" w:rsidRPr="00000000" w14:paraId="0000008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3.37 (1.14-9.92)</w:t>
            </w:r>
          </w:p>
        </w:tc>
      </w:tr>
      <w:tr>
        <w:tc>
          <w:tcPr>
            <w:shd w:fill="auto" w:val="clear"/>
            <w:tcMar>
              <w:top w:w="100.0" w:type="dxa"/>
              <w:left w:w="100.0" w:type="dxa"/>
              <w:bottom w:w="100.0" w:type="dxa"/>
              <w:right w:w="100.0" w:type="dxa"/>
            </w:tcMar>
          </w:tcPr>
          <w:p w:rsidR="00000000" w:rsidDel="00000000" w:rsidP="00000000" w:rsidRDefault="00000000" w:rsidRPr="00000000" w14:paraId="00000089">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CHA2DS2-VASc Score</w:t>
            </w:r>
          </w:p>
        </w:tc>
        <w:tc>
          <w:tcPr>
            <w:shd w:fill="auto" w:val="clear"/>
            <w:tcMar>
              <w:top w:w="100.0" w:type="dxa"/>
              <w:left w:w="100.0" w:type="dxa"/>
              <w:bottom w:w="100.0" w:type="dxa"/>
              <w:right w:w="100.0" w:type="dxa"/>
            </w:tcMar>
          </w:tcPr>
          <w:p w:rsidR="00000000" w:rsidDel="00000000" w:rsidP="00000000" w:rsidRDefault="00000000" w:rsidRPr="00000000" w14:paraId="0000008A">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B">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C">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8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CHF</w:t>
            </w:r>
          </w:p>
        </w:tc>
        <w:tc>
          <w:tcPr>
            <w:shd w:fill="auto" w:val="clear"/>
            <w:tcMar>
              <w:top w:w="100.0" w:type="dxa"/>
              <w:left w:w="100.0" w:type="dxa"/>
              <w:bottom w:w="100.0" w:type="dxa"/>
              <w:right w:w="100.0" w:type="dxa"/>
            </w:tcMar>
          </w:tcPr>
          <w:p w:rsidR="00000000" w:rsidDel="00000000" w:rsidP="00000000" w:rsidRDefault="00000000" w:rsidRPr="00000000" w14:paraId="0000008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(26%)</w:t>
            </w:r>
          </w:p>
        </w:tc>
        <w:tc>
          <w:tcPr>
            <w:shd w:fill="auto" w:val="clear"/>
            <w:tcMar>
              <w:top w:w="100.0" w:type="dxa"/>
              <w:left w:w="100.0" w:type="dxa"/>
              <w:bottom w:w="100.0" w:type="dxa"/>
              <w:right w:w="100.0" w:type="dxa"/>
            </w:tcMar>
          </w:tcPr>
          <w:p w:rsidR="00000000" w:rsidDel="00000000" w:rsidP="00000000" w:rsidRDefault="00000000" w:rsidRPr="00000000" w14:paraId="0000008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0.98</w:t>
            </w:r>
          </w:p>
        </w:tc>
        <w:tc>
          <w:tcPr>
            <w:shd w:fill="auto" w:val="clear"/>
            <w:tcMar>
              <w:top w:w="100.0" w:type="dxa"/>
              <w:left w:w="100.0" w:type="dxa"/>
              <w:bottom w:w="100.0" w:type="dxa"/>
              <w:right w:w="100.0" w:type="dxa"/>
            </w:tcMar>
          </w:tcPr>
          <w:p w:rsidR="00000000" w:rsidDel="00000000" w:rsidP="00000000" w:rsidRDefault="00000000" w:rsidRPr="00000000" w14:paraId="0000009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 (0.47-2.87)</w:t>
            </w:r>
          </w:p>
        </w:tc>
      </w:tr>
      <w:tr>
        <w:tc>
          <w:tcPr>
            <w:shd w:fill="auto" w:val="clear"/>
            <w:tcMar>
              <w:top w:w="100.0" w:type="dxa"/>
              <w:left w:w="100.0" w:type="dxa"/>
              <w:bottom w:w="100.0" w:type="dxa"/>
              <w:right w:w="100.0" w:type="dxa"/>
            </w:tcMar>
          </w:tcPr>
          <w:p w:rsidR="00000000" w:rsidDel="00000000" w:rsidP="00000000" w:rsidRDefault="00000000" w:rsidRPr="00000000" w14:paraId="0000009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HTN</w:t>
            </w:r>
          </w:p>
        </w:tc>
        <w:tc>
          <w:tcPr>
            <w:shd w:fill="auto" w:val="clear"/>
            <w:tcMar>
              <w:top w:w="100.0" w:type="dxa"/>
              <w:left w:w="100.0" w:type="dxa"/>
              <w:bottom w:w="100.0" w:type="dxa"/>
              <w:right w:w="100.0" w:type="dxa"/>
            </w:tcMar>
          </w:tcPr>
          <w:p w:rsidR="00000000" w:rsidDel="00000000" w:rsidP="00000000" w:rsidRDefault="00000000" w:rsidRPr="00000000" w14:paraId="0000009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 (68%)</w:t>
            </w:r>
          </w:p>
        </w:tc>
        <w:tc>
          <w:tcPr>
            <w:shd w:fill="auto" w:val="clear"/>
            <w:tcMar>
              <w:top w:w="100.0" w:type="dxa"/>
              <w:left w:w="100.0" w:type="dxa"/>
              <w:bottom w:w="100.0" w:type="dxa"/>
              <w:right w:w="100.0" w:type="dxa"/>
            </w:tcMar>
          </w:tcPr>
          <w:p w:rsidR="00000000" w:rsidDel="00000000" w:rsidP="00000000" w:rsidRDefault="00000000" w:rsidRPr="00000000" w14:paraId="0000009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w:t>
            </w:r>
          </w:p>
        </w:tc>
        <w:tc>
          <w:tcPr>
            <w:shd w:fill="auto" w:val="clear"/>
            <w:tcMar>
              <w:top w:w="100.0" w:type="dxa"/>
              <w:left w:w="100.0" w:type="dxa"/>
              <w:bottom w:w="100.0" w:type="dxa"/>
              <w:right w:w="100.0" w:type="dxa"/>
            </w:tcMar>
          </w:tcPr>
          <w:p w:rsidR="00000000" w:rsidDel="00000000" w:rsidP="00000000" w:rsidRDefault="00000000" w:rsidRPr="00000000" w14:paraId="0000009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1.57 (0.59-4.12)</w:t>
            </w:r>
          </w:p>
        </w:tc>
      </w:tr>
      <w:tr>
        <w:tc>
          <w:tcPr>
            <w:shd w:fill="auto" w:val="clear"/>
            <w:tcMar>
              <w:top w:w="100.0" w:type="dxa"/>
              <w:left w:w="100.0" w:type="dxa"/>
              <w:bottom w:w="100.0" w:type="dxa"/>
              <w:right w:w="100.0" w:type="dxa"/>
            </w:tcMar>
          </w:tcPr>
          <w:p w:rsidR="00000000" w:rsidDel="00000000" w:rsidP="00000000" w:rsidRDefault="00000000" w:rsidRPr="00000000" w14:paraId="0000009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Diabetes mellitus</w:t>
            </w:r>
          </w:p>
        </w:tc>
        <w:tc>
          <w:tcPr>
            <w:shd w:fill="auto" w:val="clear"/>
            <w:tcMar>
              <w:top w:w="100.0" w:type="dxa"/>
              <w:left w:w="100.0" w:type="dxa"/>
              <w:bottom w:w="100.0" w:type="dxa"/>
              <w:right w:w="100.0" w:type="dxa"/>
            </w:tcMar>
          </w:tcPr>
          <w:p w:rsidR="00000000" w:rsidDel="00000000" w:rsidP="00000000" w:rsidRDefault="00000000" w:rsidRPr="00000000" w14:paraId="0000009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(34%)</w:t>
            </w:r>
          </w:p>
        </w:tc>
        <w:tc>
          <w:tcPr>
            <w:shd w:fill="auto" w:val="clear"/>
            <w:tcMar>
              <w:top w:w="100.0" w:type="dxa"/>
              <w:left w:w="100.0" w:type="dxa"/>
              <w:bottom w:w="100.0" w:type="dxa"/>
              <w:right w:w="100.0" w:type="dxa"/>
            </w:tcMar>
          </w:tcPr>
          <w:p w:rsidR="00000000" w:rsidDel="00000000" w:rsidP="00000000" w:rsidRDefault="00000000" w:rsidRPr="00000000" w14:paraId="0000009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w:t>
            </w:r>
          </w:p>
        </w:tc>
        <w:tc>
          <w:tcPr>
            <w:shd w:fill="auto" w:val="clear"/>
            <w:tcMar>
              <w:top w:w="100.0" w:type="dxa"/>
              <w:left w:w="100.0" w:type="dxa"/>
              <w:bottom w:w="100.0" w:type="dxa"/>
              <w:right w:w="100.0" w:type="dxa"/>
            </w:tcMar>
          </w:tcPr>
          <w:p w:rsidR="00000000" w:rsidDel="00000000" w:rsidP="00000000" w:rsidRDefault="00000000" w:rsidRPr="00000000" w14:paraId="0000009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2.64 (1.04-6.66)</w:t>
            </w:r>
          </w:p>
        </w:tc>
      </w:tr>
      <w:tr>
        <w:tc>
          <w:tcPr>
            <w:shd w:fill="auto" w:val="clear"/>
            <w:tcMar>
              <w:top w:w="100.0" w:type="dxa"/>
              <w:left w:w="100.0" w:type="dxa"/>
              <w:bottom w:w="100.0" w:type="dxa"/>
              <w:right w:w="100.0" w:type="dxa"/>
            </w:tcMar>
          </w:tcPr>
          <w:p w:rsidR="00000000" w:rsidDel="00000000" w:rsidP="00000000" w:rsidRDefault="00000000" w:rsidRPr="00000000" w14:paraId="0000009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Vascular Disease</w:t>
            </w:r>
          </w:p>
        </w:tc>
        <w:tc>
          <w:tcPr>
            <w:shd w:fill="auto" w:val="clear"/>
            <w:tcMar>
              <w:top w:w="100.0" w:type="dxa"/>
              <w:left w:w="100.0" w:type="dxa"/>
              <w:bottom w:w="100.0" w:type="dxa"/>
              <w:right w:w="100.0" w:type="dxa"/>
            </w:tcMar>
          </w:tcPr>
          <w:p w:rsidR="00000000" w:rsidDel="00000000" w:rsidP="00000000" w:rsidRDefault="00000000" w:rsidRPr="00000000" w14:paraId="0000009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(54%)</w:t>
            </w:r>
          </w:p>
        </w:tc>
        <w:tc>
          <w:tcPr>
            <w:shd w:fill="auto" w:val="clear"/>
            <w:tcMar>
              <w:top w:w="100.0" w:type="dxa"/>
              <w:left w:w="100.0" w:type="dxa"/>
              <w:bottom w:w="100.0" w:type="dxa"/>
              <w:right w:w="100.0" w:type="dxa"/>
            </w:tcMar>
          </w:tcPr>
          <w:p w:rsidR="00000000" w:rsidDel="00000000" w:rsidP="00000000" w:rsidRDefault="00000000" w:rsidRPr="00000000" w14:paraId="0000009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0.74</w:t>
            </w:r>
          </w:p>
        </w:tc>
        <w:tc>
          <w:tcPr>
            <w:shd w:fill="auto" w:val="clear"/>
            <w:tcMar>
              <w:top w:w="100.0" w:type="dxa"/>
              <w:left w:w="100.0" w:type="dxa"/>
              <w:bottom w:w="100.0" w:type="dxa"/>
              <w:right w:w="100.0" w:type="dxa"/>
            </w:tcMar>
          </w:tcPr>
          <w:p w:rsidR="00000000" w:rsidDel="00000000" w:rsidP="00000000" w:rsidRDefault="00000000" w:rsidRPr="00000000" w14:paraId="0000009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1.16 (0.47-2.87)</w:t>
            </w:r>
          </w:p>
        </w:tc>
      </w:tr>
      <w:tr>
        <w:tc>
          <w:tcPr>
            <w:shd w:fill="auto" w:val="clear"/>
            <w:tcMar>
              <w:top w:w="100.0" w:type="dxa"/>
              <w:left w:w="100.0" w:type="dxa"/>
              <w:bottom w:w="100.0" w:type="dxa"/>
              <w:right w:w="100.0" w:type="dxa"/>
            </w:tcMar>
          </w:tcPr>
          <w:p w:rsidR="00000000" w:rsidDel="00000000" w:rsidP="00000000" w:rsidRDefault="00000000" w:rsidRPr="00000000" w14:paraId="0000009D">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Mean Cr</w:t>
            </w:r>
          </w:p>
        </w:tc>
        <w:tc>
          <w:tcPr>
            <w:shd w:fill="auto" w:val="clear"/>
            <w:tcMar>
              <w:top w:w="100.0" w:type="dxa"/>
              <w:left w:w="100.0" w:type="dxa"/>
              <w:bottom w:w="100.0" w:type="dxa"/>
              <w:right w:w="100.0" w:type="dxa"/>
            </w:tcMar>
          </w:tcPr>
          <w:p w:rsidR="00000000" w:rsidDel="00000000" w:rsidP="00000000" w:rsidRDefault="00000000" w:rsidRPr="00000000" w14:paraId="0000009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1.65184615384615/1.26663788766227</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0.0001</w:t>
            </w:r>
          </w:p>
        </w:tc>
        <w:tc>
          <w:tcPr>
            <w:shd w:fill="auto" w:val="clear"/>
            <w:tcMar>
              <w:top w:w="100.0" w:type="dxa"/>
              <w:left w:w="100.0" w:type="dxa"/>
              <w:bottom w:w="100.0" w:type="dxa"/>
              <w:right w:w="100.0" w:type="dxa"/>
            </w:tcMar>
          </w:tcPr>
          <w:p w:rsidR="00000000" w:rsidDel="00000000" w:rsidP="00000000" w:rsidRDefault="00000000" w:rsidRPr="00000000" w14:paraId="000000A0">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A1">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Mean CHA2DS2-VASc Score</w:t>
            </w:r>
          </w:p>
        </w:tc>
        <w:tc>
          <w:tcPr>
            <w:shd w:fill="auto" w:val="clear"/>
            <w:tcMar>
              <w:top w:w="100.0" w:type="dxa"/>
              <w:left w:w="100.0" w:type="dxa"/>
              <w:bottom w:w="100.0" w:type="dxa"/>
              <w:right w:w="100.0" w:type="dxa"/>
            </w:tcMar>
          </w:tcPr>
          <w:p w:rsidR="00000000" w:rsidDel="00000000" w:rsidP="00000000" w:rsidRDefault="00000000" w:rsidRPr="00000000" w14:paraId="000000A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4.24615384615385/1.87941787223106</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0.009</w:t>
            </w:r>
          </w:p>
        </w:tc>
        <w:tc>
          <w:tcPr>
            <w:shd w:fill="auto" w:val="clear"/>
            <w:tcMar>
              <w:top w:w="100.0" w:type="dxa"/>
              <w:left w:w="100.0" w:type="dxa"/>
              <w:bottom w:w="100.0" w:type="dxa"/>
              <w:right w:w="100.0" w:type="dxa"/>
            </w:tcMar>
          </w:tcPr>
          <w:p w:rsidR="00000000" w:rsidDel="00000000" w:rsidP="00000000" w:rsidRDefault="00000000" w:rsidRPr="00000000" w14:paraId="000000A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0.62 (0.43-0.89)</w:t>
            </w:r>
          </w:p>
        </w:tc>
      </w:tr>
      <w:tr>
        <w:trPr>
          <w:trHeight w:val="280" w:hRule="atLeast"/>
        </w:trPr>
        <w:tc>
          <w:tcPr>
            <w:shd w:fill="auto" w:val="clear"/>
            <w:tcMar>
              <w:top w:w="100.0" w:type="dxa"/>
              <w:left w:w="100.0" w:type="dxa"/>
              <w:bottom w:w="100.0" w:type="dxa"/>
              <w:right w:w="100.0" w:type="dxa"/>
            </w:tcMar>
          </w:tcPr>
          <w:p w:rsidR="00000000" w:rsidDel="00000000" w:rsidP="00000000" w:rsidRDefault="00000000" w:rsidRPr="00000000" w14:paraId="000000A5">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Mean follow-up, y</w:t>
            </w:r>
          </w:p>
        </w:tc>
        <w:tc>
          <w:tcPr>
            <w:shd w:fill="auto" w:val="clear"/>
            <w:tcMar>
              <w:top w:w="100.0" w:type="dxa"/>
              <w:left w:w="100.0" w:type="dxa"/>
              <w:bottom w:w="100.0" w:type="dxa"/>
              <w:right w:w="100.0" w:type="dxa"/>
            </w:tcMar>
          </w:tcPr>
          <w:p w:rsidR="00000000" w:rsidDel="00000000" w:rsidP="00000000" w:rsidRDefault="00000000" w:rsidRPr="00000000" w14:paraId="000000A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A7">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8">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A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the cox </w:t>
      </w:r>
      <w:r w:rsidDel="00000000" w:rsidR="00000000" w:rsidRPr="00000000">
        <w:rPr>
          <w:rFonts w:ascii="Times New Roman" w:cs="Times New Roman" w:eastAsia="Times New Roman" w:hAnsi="Times New Roman"/>
          <w:sz w:val="24"/>
          <w:szCs w:val="24"/>
          <w:highlight w:val="white"/>
          <w:rtl w:val="0"/>
        </w:rPr>
        <w:t xml:space="preserve">proportional-hazards model, only the hazard ratios for females, patients with diabetes mellitus, and </w:t>
      </w:r>
      <w:r w:rsidDel="00000000" w:rsidR="00000000" w:rsidRPr="00000000">
        <w:rPr>
          <w:rFonts w:ascii="Times New Roman" w:cs="Times New Roman" w:eastAsia="Times New Roman" w:hAnsi="Times New Roman"/>
          <w:sz w:val="24"/>
          <w:szCs w:val="24"/>
          <w:rtl w:val="0"/>
        </w:rPr>
        <w:t xml:space="preserve">CHA2DS2-VASc</w:t>
      </w:r>
      <w:r w:rsidDel="00000000" w:rsidR="00000000" w:rsidRPr="00000000">
        <w:rPr>
          <w:rFonts w:ascii="Times New Roman" w:cs="Times New Roman" w:eastAsia="Times New Roman" w:hAnsi="Times New Roman"/>
          <w:sz w:val="24"/>
          <w:szCs w:val="24"/>
          <w:highlight w:val="white"/>
          <w:rtl w:val="0"/>
        </w:rPr>
        <w:t xml:space="preserve"> score &gt;4 were statistically significant with p-value &lt;0.05 and hazard ratios with confidence intervals that did not include 1. These results show that females were 3.37 times more likely to experience mortality, patients with diabetes were 2.64 times more likely to experience mortality, and the lower the </w:t>
      </w:r>
      <w:r w:rsidDel="00000000" w:rsidR="00000000" w:rsidRPr="00000000">
        <w:rPr>
          <w:rFonts w:ascii="Times New Roman" w:cs="Times New Roman" w:eastAsia="Times New Roman" w:hAnsi="Times New Roman"/>
          <w:sz w:val="24"/>
          <w:szCs w:val="24"/>
          <w:rtl w:val="0"/>
        </w:rPr>
        <w:t xml:space="preserve">CHA2DS2-VASc &lt;4</w:t>
      </w:r>
      <w:r w:rsidDel="00000000" w:rsidR="00000000" w:rsidRPr="00000000">
        <w:rPr>
          <w:rFonts w:ascii="Times New Roman" w:cs="Times New Roman" w:eastAsia="Times New Roman" w:hAnsi="Times New Roman"/>
          <w:sz w:val="24"/>
          <w:szCs w:val="24"/>
          <w:highlight w:val="white"/>
          <w:rtl w:val="0"/>
        </w:rPr>
        <w:t xml:space="preserve">, the lesser the mortality ( 38% less) than a higher </w:t>
      </w:r>
      <w:r w:rsidDel="00000000" w:rsidR="00000000" w:rsidRPr="00000000">
        <w:rPr>
          <w:rFonts w:ascii="Times New Roman" w:cs="Times New Roman" w:eastAsia="Times New Roman" w:hAnsi="Times New Roman"/>
          <w:sz w:val="24"/>
          <w:szCs w:val="24"/>
          <w:rtl w:val="0"/>
        </w:rPr>
        <w:t xml:space="preserve">CHA2DS2-VASc</w:t>
      </w:r>
      <w:r w:rsidDel="00000000" w:rsidR="00000000" w:rsidRPr="00000000">
        <w:rPr>
          <w:rFonts w:ascii="Times New Roman" w:cs="Times New Roman" w:eastAsia="Times New Roman" w:hAnsi="Times New Roman"/>
          <w:sz w:val="24"/>
          <w:szCs w:val="24"/>
          <w:highlight w:val="white"/>
          <w:rtl w:val="0"/>
        </w:rPr>
        <w:t xml:space="preserve"> score. </w:t>
      </w: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However, the observed results showed that the incidence of mortality was actually higher in patients with lower CHA2DS2-VASc score &lt;4 than patients with higher CHA2DS2-VASc score &gt;4. The following histogram illustrates the incidence rate of mortality in terms of percentage: </w:t>
      </w:r>
    </w:p>
    <w:p w:rsidR="00000000" w:rsidDel="00000000" w:rsidP="00000000" w:rsidRDefault="00000000" w:rsidRPr="00000000" w14:paraId="000000A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w:t>
      </w:r>
    </w:p>
    <w:p w:rsidR="00000000" w:rsidDel="00000000" w:rsidP="00000000" w:rsidRDefault="00000000" w:rsidRPr="00000000" w14:paraId="000000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37973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797300"/>
                    </a:xfrm>
                    <a:prstGeom prst="rect"/>
                    <a:ln/>
                  </pic:spPr>
                </pic:pic>
              </a:graphicData>
            </a:graphic>
          </wp:inline>
        </w:drawing>
      </w: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spacing w:after="22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area under the receiver operating characteristic (ROC) curve was used to assess the predictive power of CHA2DS2-VASc score for mortality development among ischemic bowel disease patients w/ atrial fibrillation. The results were the following: </w:t>
      </w:r>
    </w:p>
    <w:p w:rsidR="00000000" w:rsidDel="00000000" w:rsidP="00000000" w:rsidRDefault="00000000" w:rsidRPr="00000000" w14:paraId="000000B5">
      <w:pPr>
        <w:spacing w:after="22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w:t>
      </w:r>
      <w:r w:rsidDel="00000000" w:rsidR="00000000" w:rsidRPr="00000000">
        <w:drawing>
          <wp:anchor allowOverlap="1" behindDoc="0" distB="114300" distT="114300" distL="114300" distR="114300" hidden="0" layoutInCell="1" locked="0" relativeHeight="0" simplePos="0">
            <wp:simplePos x="0" y="0"/>
            <wp:positionH relativeFrom="column">
              <wp:posOffset>19052</wp:posOffset>
            </wp:positionH>
            <wp:positionV relativeFrom="paragraph">
              <wp:posOffset>114300</wp:posOffset>
            </wp:positionV>
            <wp:extent cx="5943600" cy="4614863"/>
            <wp:effectExtent b="0" l="0" r="0" t="0"/>
            <wp:wrapSquare wrapText="bothSides" distB="114300" distT="114300" distL="114300" distR="114300"/>
            <wp:docPr id="1" name="image3.png"/>
            <a:graphic>
              <a:graphicData uri="http://schemas.openxmlformats.org/drawingml/2006/picture">
                <pic:pic>
                  <pic:nvPicPr>
                    <pic:cNvPr id="0" name="image3.png"/>
                    <pic:cNvPicPr preferRelativeResize="0"/>
                  </pic:nvPicPr>
                  <pic:blipFill>
                    <a:blip r:embed="rId7"/>
                    <a:srcRect b="6573" l="0" r="0" t="0"/>
                    <a:stretch>
                      <a:fillRect/>
                    </a:stretch>
                  </pic:blipFill>
                  <pic:spPr>
                    <a:xfrm>
                      <a:off x="0" y="0"/>
                      <a:ext cx="5943600" cy="4614863"/>
                    </a:xfrm>
                    <a:prstGeom prst="rect"/>
                    <a:ln/>
                  </pic:spPr>
                </pic:pic>
              </a:graphicData>
            </a:graphic>
          </wp:anchor>
        </w:drawing>
      </w:r>
    </w:p>
    <w:p w:rsidR="00000000" w:rsidDel="00000000" w:rsidP="00000000" w:rsidRDefault="00000000" w:rsidRPr="00000000" w14:paraId="000000B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area under the curve of ROC was 0.67 indicating a fair-to-poor marker. </w:t>
      </w:r>
    </w:p>
    <w:p w:rsidR="00000000" w:rsidDel="00000000" w:rsidP="00000000" w:rsidRDefault="00000000" w:rsidRPr="00000000" w14:paraId="000000B7">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examining mortality in patients based on whether or not patients were on anticoagulation, </w:t>
      </w:r>
      <w:r w:rsidDel="00000000" w:rsidR="00000000" w:rsidRPr="00000000">
        <w:rPr>
          <w:rFonts w:ascii="Times New Roman" w:cs="Times New Roman" w:eastAsia="Times New Roman" w:hAnsi="Times New Roman"/>
          <w:color w:val="000000"/>
          <w:sz w:val="24"/>
          <w:szCs w:val="24"/>
          <w:rtl w:val="0"/>
        </w:rPr>
        <w:t xml:space="preserve">the hazard ratio was </w:t>
      </w:r>
      <w:r w:rsidDel="00000000" w:rsidR="00000000" w:rsidRPr="00000000">
        <w:rPr>
          <w:rFonts w:ascii="Times New Roman" w:cs="Times New Roman" w:eastAsia="Times New Roman" w:hAnsi="Times New Roman"/>
          <w:color w:val="000000"/>
          <w:sz w:val="24"/>
          <w:szCs w:val="24"/>
          <w:highlight w:val="white"/>
          <w:rtl w:val="0"/>
        </w:rPr>
        <w:t xml:space="preserve">0.3588197057 (CI 0.08873281868) with </w:t>
      </w:r>
      <w:r w:rsidDel="00000000" w:rsidR="00000000" w:rsidRPr="00000000">
        <w:rPr>
          <w:rFonts w:ascii="Times New Roman" w:cs="Times New Roman" w:eastAsia="Times New Roman" w:hAnsi="Times New Roman"/>
          <w:color w:val="000000"/>
          <w:sz w:val="24"/>
          <w:szCs w:val="24"/>
          <w:rtl w:val="0"/>
        </w:rPr>
        <w:t xml:space="preserve">P &lt;0.05 for patients on anticoagulation, meaning </w:t>
      </w:r>
      <w:r w:rsidDel="00000000" w:rsidR="00000000" w:rsidRPr="00000000">
        <w:rPr>
          <w:rFonts w:ascii="Times New Roman" w:cs="Times New Roman" w:eastAsia="Times New Roman" w:hAnsi="Times New Roman"/>
          <w:sz w:val="24"/>
          <w:szCs w:val="24"/>
          <w:rtl w:val="0"/>
        </w:rPr>
        <w:t xml:space="preserve">that patients on anticoagulation had 64% less mortality than those not on anticoagulation. </w:t>
      </w:r>
    </w:p>
    <w:p w:rsidR="00000000" w:rsidDel="00000000" w:rsidP="00000000" w:rsidRDefault="00000000" w:rsidRPr="00000000" w14:paraId="000000B8">
      <w:pPr>
        <w:spacing w:after="220" w:line="240" w:lineRule="auto"/>
        <w:ind w:firstLine="720"/>
        <w:rPr>
          <w:rFonts w:ascii="Times New Roman" w:cs="Times New Roman" w:eastAsia="Times New Roman" w:hAnsi="Times New Roman"/>
          <w:sz w:val="24"/>
          <w:szCs w:val="24"/>
        </w:rPr>
      </w:pPr>
      <w:bookmarkStart w:colFirst="0" w:colLast="0" w:name="_1t3h5sf" w:id="7"/>
      <w:bookmarkEnd w:id="7"/>
      <w:r w:rsidDel="00000000" w:rsidR="00000000" w:rsidRPr="00000000">
        <w:rPr>
          <w:rFonts w:ascii="Times New Roman" w:cs="Times New Roman" w:eastAsia="Times New Roman" w:hAnsi="Times New Roman"/>
          <w:sz w:val="24"/>
          <w:szCs w:val="24"/>
          <w:rtl w:val="0"/>
        </w:rPr>
        <w:t xml:space="preserve">Finally, utilizing the log-rank test, Kaplan-Meier curves were calculated and then plotted together for patients on anticoagulation and those not on anticoagulation: </w:t>
      </w:r>
    </w:p>
    <w:p w:rsidR="00000000" w:rsidDel="00000000" w:rsidP="00000000" w:rsidRDefault="00000000" w:rsidRPr="00000000" w14:paraId="000000B9">
      <w:pPr>
        <w:spacing w:after="22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3670300"/>
            <wp:effectExtent b="0" l="0" r="0" t="0"/>
            <wp:docPr descr="Chart" id="3" name="image2.png"/>
            <a:graphic>
              <a:graphicData uri="http://schemas.openxmlformats.org/drawingml/2006/picture">
                <pic:pic>
                  <pic:nvPicPr>
                    <pic:cNvPr descr="Chart" id="0" name="image2.png"/>
                    <pic:cNvPicPr preferRelativeResize="0"/>
                  </pic:nvPicPr>
                  <pic:blipFill>
                    <a:blip r:embed="rId8"/>
                    <a:srcRect b="0" l="0" r="0" t="0"/>
                    <a:stretch>
                      <a:fillRect/>
                    </a:stretch>
                  </pic:blipFill>
                  <pic:spPr>
                    <a:xfrm>
                      <a:off x="0" y="0"/>
                      <a:ext cx="59436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spacing w:after="22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Kaplan-Meier curves demonstrate longer survival and less mortality for patients with atrial fibrillation on anticoagulation. This effect was not seen immediately, but starting at 750 days after following the patients, there was significantly more mortality for patients not on anticoagulation. </w:t>
      </w:r>
    </w:p>
    <w:p w:rsidR="00000000" w:rsidDel="00000000" w:rsidP="00000000" w:rsidRDefault="00000000" w:rsidRPr="00000000" w14:paraId="000000BB">
      <w:pPr>
        <w:pStyle w:val="Heading3"/>
        <w:spacing w:after="220" w:before="0" w:line="240" w:lineRule="auto"/>
        <w:rPr>
          <w:rFonts w:ascii="Times New Roman" w:cs="Times New Roman" w:eastAsia="Times New Roman" w:hAnsi="Times New Roman"/>
          <w:b w:val="1"/>
          <w:color w:val="000000"/>
          <w:sz w:val="24"/>
          <w:szCs w:val="24"/>
        </w:rPr>
      </w:pPr>
      <w:bookmarkStart w:colFirst="0" w:colLast="0" w:name="_4d34og8" w:id="8"/>
      <w:bookmarkEnd w:id="8"/>
      <w:r w:rsidDel="00000000" w:rsidR="00000000" w:rsidRPr="00000000">
        <w:rPr>
          <w:rFonts w:ascii="Times New Roman" w:cs="Times New Roman" w:eastAsia="Times New Roman" w:hAnsi="Times New Roman"/>
          <w:b w:val="1"/>
          <w:color w:val="000000"/>
          <w:sz w:val="24"/>
          <w:szCs w:val="24"/>
          <w:rtl w:val="0"/>
        </w:rPr>
        <w:t xml:space="preserve">Discussion   </w:t>
      </w:r>
    </w:p>
    <w:p w:rsidR="00000000" w:rsidDel="00000000" w:rsidP="00000000" w:rsidRDefault="00000000" w:rsidRPr="00000000" w14:paraId="000000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Ischemic bowel disease can be considered an intestinal disease equivalent in nature to ischemic heart disease,  comparatively, ischemic bowel disease has a high-mortality rate despite the latest advances in imaging modalities and in  healthcare [13]. The results of our study demonstrate that both the CHA2DS2-VASc score and whether or not a patient is on anticoagulation can  help risk stratify patients with atrial fibrillation who are at a much higher risk for ischemic bowel disease. Using this information, clinicians can have an even higher index of suspicion for detecting ischemic bowel disease earlier. </w:t>
      </w:r>
    </w:p>
    <w:p w:rsidR="00000000" w:rsidDel="00000000" w:rsidP="00000000" w:rsidRDefault="00000000" w:rsidRPr="00000000" w14:paraId="000000BD">
      <w:pPr>
        <w:pStyle w:val="Heading3"/>
        <w:spacing w:after="0" w:before="0" w:line="240" w:lineRule="auto"/>
        <w:rPr>
          <w:rFonts w:ascii="Times New Roman" w:cs="Times New Roman" w:eastAsia="Times New Roman" w:hAnsi="Times New Roman"/>
          <w:color w:val="000000"/>
          <w:sz w:val="24"/>
          <w:szCs w:val="24"/>
          <w:highlight w:val="white"/>
        </w:rPr>
      </w:pPr>
      <w:bookmarkStart w:colFirst="0" w:colLast="0" w:name="_2s8eyo1" w:id="9"/>
      <w:bookmarkEnd w:id="9"/>
      <w:r w:rsidDel="00000000" w:rsidR="00000000" w:rsidRPr="00000000">
        <w:rPr>
          <w:rFonts w:ascii="Times New Roman" w:cs="Times New Roman" w:eastAsia="Times New Roman" w:hAnsi="Times New Roman"/>
          <w:color w:val="000000"/>
          <w:sz w:val="24"/>
          <w:szCs w:val="24"/>
          <w:highlight w:val="white"/>
          <w:rtl w:val="0"/>
        </w:rPr>
        <w:t xml:space="preserve">The cox proportional hazards model revealed that  mortality was increased in females, patients with diabetes and those with lower  </w:t>
      </w:r>
      <w:r w:rsidDel="00000000" w:rsidR="00000000" w:rsidRPr="00000000">
        <w:rPr>
          <w:rFonts w:ascii="Times New Roman" w:cs="Times New Roman" w:eastAsia="Times New Roman" w:hAnsi="Times New Roman"/>
          <w:color w:val="000000"/>
          <w:sz w:val="24"/>
          <w:szCs w:val="24"/>
          <w:rtl w:val="0"/>
        </w:rPr>
        <w:t xml:space="preserve">CHA2DS2-VASc</w:t>
      </w:r>
      <w:r w:rsidDel="00000000" w:rsidR="00000000" w:rsidRPr="00000000">
        <w:rPr>
          <w:rFonts w:ascii="Times New Roman" w:cs="Times New Roman" w:eastAsia="Times New Roman" w:hAnsi="Times New Roman"/>
          <w:color w:val="000000"/>
          <w:sz w:val="24"/>
          <w:szCs w:val="24"/>
          <w:highlight w:val="white"/>
          <w:rtl w:val="0"/>
        </w:rPr>
        <w:t xml:space="preserve"> scores (&lt;4). Moreover, patients in other retrospective </w:t>
      </w:r>
      <w:r w:rsidDel="00000000" w:rsidR="00000000" w:rsidRPr="00000000">
        <w:rPr>
          <w:rFonts w:ascii="Times New Roman" w:cs="Times New Roman" w:eastAsia="Times New Roman" w:hAnsi="Times New Roman"/>
          <w:color w:val="ff0000"/>
          <w:sz w:val="24"/>
          <w:szCs w:val="24"/>
          <w:highlight w:val="white"/>
          <w:rtl w:val="0"/>
        </w:rPr>
        <w:t xml:space="preserve">s</w:t>
      </w:r>
      <w:r w:rsidDel="00000000" w:rsidR="00000000" w:rsidRPr="00000000">
        <w:rPr>
          <w:rFonts w:ascii="Times New Roman" w:cs="Times New Roman" w:eastAsia="Times New Roman" w:hAnsi="Times New Roman"/>
          <w:color w:val="000000"/>
          <w:sz w:val="24"/>
          <w:szCs w:val="24"/>
          <w:highlight w:val="white"/>
          <w:rtl w:val="0"/>
        </w:rPr>
        <w:t xml:space="preserve">tudies analyzing this same patient population had a higher mean CHA2DS2-VASc score than those patients, further emphasizing that ischemic bowel disease is usually associated with a delay in diagnosis because of the initial vague clinical presentations [2]. We recommend that it is beneficial for female patients, diabetics, and patients with higher </w:t>
      </w:r>
      <w:r w:rsidDel="00000000" w:rsidR="00000000" w:rsidRPr="00000000">
        <w:rPr>
          <w:rFonts w:ascii="Times New Roman" w:cs="Times New Roman" w:eastAsia="Times New Roman" w:hAnsi="Times New Roman"/>
          <w:color w:val="000000"/>
          <w:sz w:val="24"/>
          <w:szCs w:val="24"/>
          <w:rtl w:val="0"/>
        </w:rPr>
        <w:t xml:space="preserve">CHA2DS2-VASc</w:t>
      </w:r>
      <w:r w:rsidDel="00000000" w:rsidR="00000000" w:rsidRPr="00000000">
        <w:rPr>
          <w:rFonts w:ascii="Times New Roman" w:cs="Times New Roman" w:eastAsia="Times New Roman" w:hAnsi="Times New Roman"/>
          <w:color w:val="000000"/>
          <w:sz w:val="24"/>
          <w:szCs w:val="24"/>
          <w:highlight w:val="white"/>
          <w:rtl w:val="0"/>
        </w:rPr>
        <w:t xml:space="preserve"> scores to be monitored more closely if they have ischemic bowel disease and there needs to be a higher index of suspicion for diagnosing new-onset ischemic bowel disease in patients with atrial fibrillation. For this sample size of 65 patients, hazard ratios for males, age, and vascular disease were not statistically significant. This does not mean that these variables are completely insignificant for future studies. Given a different population and larger sample size, future studies could examine the hazard ratios for male gender, age, and vascular disease. Among several retrospective studies heart failure was the predominant factor causing intestinal hypoperfusion [14]. However, in our study patients with heart failure were not found to have statistically significant hazard ratios. </w:t>
      </w:r>
      <w:r w:rsidDel="00000000" w:rsidR="00000000" w:rsidRPr="00000000">
        <w:rPr>
          <w:rFonts w:ascii="Times New Roman" w:cs="Times New Roman" w:eastAsia="Times New Roman" w:hAnsi="Times New Roman"/>
          <w:color w:val="000000"/>
          <w:sz w:val="24"/>
          <w:szCs w:val="24"/>
          <w:rtl w:val="0"/>
        </w:rPr>
        <w:t xml:space="preserve">Risk factors for developing ischemic bowel disease among patients with atrial fibrillation include smoking, hypertension, dyslipidemia, higher age, and female sex [17]. We were able to examine all of these risk factors except for smoking. </w:t>
      </w:r>
      <w:r w:rsidDel="00000000" w:rsidR="00000000" w:rsidRPr="00000000">
        <w:rPr>
          <w:rtl w:val="0"/>
        </w:rPr>
      </w:r>
    </w:p>
    <w:p w:rsidR="00000000" w:rsidDel="00000000" w:rsidP="00000000" w:rsidRDefault="00000000" w:rsidRPr="00000000" w14:paraId="000000BE">
      <w:pPr>
        <w:pStyle w:val="Heading3"/>
        <w:spacing w:after="0" w:before="0" w:line="240" w:lineRule="auto"/>
        <w:rPr>
          <w:rFonts w:ascii="Times New Roman" w:cs="Times New Roman" w:eastAsia="Times New Roman" w:hAnsi="Times New Roman"/>
          <w:color w:val="000000"/>
          <w:sz w:val="24"/>
          <w:szCs w:val="24"/>
          <w:highlight w:val="white"/>
        </w:rPr>
      </w:pPr>
      <w:bookmarkStart w:colFirst="0" w:colLast="0" w:name="_17dp8vu" w:id="10"/>
      <w:bookmarkEnd w:id="10"/>
      <w:r w:rsidDel="00000000" w:rsidR="00000000" w:rsidRPr="00000000">
        <w:rPr>
          <w:rtl w:val="0"/>
        </w:rPr>
      </w:r>
    </w:p>
    <w:p w:rsidR="00000000" w:rsidDel="00000000" w:rsidP="00000000" w:rsidRDefault="00000000" w:rsidRPr="00000000" w14:paraId="000000BF">
      <w:pPr>
        <w:pStyle w:val="Heading3"/>
        <w:spacing w:after="0" w:before="0" w:line="240" w:lineRule="auto"/>
        <w:rPr>
          <w:rFonts w:ascii="Times New Roman" w:cs="Times New Roman" w:eastAsia="Times New Roman" w:hAnsi="Times New Roman"/>
          <w:color w:val="000000"/>
          <w:sz w:val="24"/>
          <w:szCs w:val="24"/>
          <w:highlight w:val="white"/>
        </w:rPr>
      </w:pPr>
      <w:bookmarkStart w:colFirst="0" w:colLast="0" w:name="_3rdcrjn" w:id="11"/>
      <w:bookmarkEnd w:id="11"/>
      <w:r w:rsidDel="00000000" w:rsidR="00000000" w:rsidRPr="00000000">
        <w:rPr>
          <w:rFonts w:ascii="Times New Roman" w:cs="Times New Roman" w:eastAsia="Times New Roman" w:hAnsi="Times New Roman"/>
          <w:color w:val="000000"/>
          <w:sz w:val="24"/>
          <w:szCs w:val="24"/>
          <w:highlight w:val="white"/>
          <w:rtl w:val="0"/>
        </w:rPr>
        <w:t xml:space="preserve">The receiver operating characteristic  area under the curve for </w:t>
      </w:r>
      <w:r w:rsidDel="00000000" w:rsidR="00000000" w:rsidRPr="00000000">
        <w:rPr>
          <w:rFonts w:ascii="Times New Roman" w:cs="Times New Roman" w:eastAsia="Times New Roman" w:hAnsi="Times New Roman"/>
          <w:color w:val="000000"/>
          <w:sz w:val="24"/>
          <w:szCs w:val="24"/>
          <w:rtl w:val="0"/>
        </w:rPr>
        <w:t xml:space="preserve">CHA2DS2-VASc</w:t>
      </w:r>
      <w:r w:rsidDel="00000000" w:rsidR="00000000" w:rsidRPr="00000000">
        <w:rPr>
          <w:rFonts w:ascii="Times New Roman" w:cs="Times New Roman" w:eastAsia="Times New Roman" w:hAnsi="Times New Roman"/>
          <w:color w:val="000000"/>
          <w:sz w:val="24"/>
          <w:szCs w:val="24"/>
          <w:highlight w:val="white"/>
          <w:rtl w:val="0"/>
        </w:rPr>
        <w:t xml:space="preserve"> score as predictor of morbidity and mortality for patients with both atrial fibrillation and ischemic bowel disease was 0.67. Based on standard analysis, this likely means that the </w:t>
      </w:r>
      <w:r w:rsidDel="00000000" w:rsidR="00000000" w:rsidRPr="00000000">
        <w:rPr>
          <w:rFonts w:ascii="Times New Roman" w:cs="Times New Roman" w:eastAsia="Times New Roman" w:hAnsi="Times New Roman"/>
          <w:color w:val="000000"/>
          <w:sz w:val="24"/>
          <w:szCs w:val="24"/>
          <w:rtl w:val="0"/>
        </w:rPr>
        <w:t xml:space="preserve">CHA2DS2-VASc</w:t>
      </w:r>
      <w:r w:rsidDel="00000000" w:rsidR="00000000" w:rsidRPr="00000000">
        <w:rPr>
          <w:rFonts w:ascii="Times New Roman" w:cs="Times New Roman" w:eastAsia="Times New Roman" w:hAnsi="Times New Roman"/>
          <w:color w:val="000000"/>
          <w:sz w:val="24"/>
          <w:szCs w:val="24"/>
          <w:highlight w:val="white"/>
          <w:rtl w:val="0"/>
        </w:rPr>
        <w:t xml:space="preserve"> score is a poor-to-fair predictor based on this population and sample size. However, if the sample size was larger and the power of the study was even higher, we hypothesize that the </w:t>
      </w:r>
      <w:r w:rsidDel="00000000" w:rsidR="00000000" w:rsidRPr="00000000">
        <w:rPr>
          <w:rFonts w:ascii="Times New Roman" w:cs="Times New Roman" w:eastAsia="Times New Roman" w:hAnsi="Times New Roman"/>
          <w:color w:val="000000"/>
          <w:sz w:val="24"/>
          <w:szCs w:val="24"/>
          <w:rtl w:val="0"/>
        </w:rPr>
        <w:t xml:space="preserve">CHA2DS2-VASc</w:t>
      </w:r>
      <w:r w:rsidDel="00000000" w:rsidR="00000000" w:rsidRPr="00000000">
        <w:rPr>
          <w:rFonts w:ascii="Times New Roman" w:cs="Times New Roman" w:eastAsia="Times New Roman" w:hAnsi="Times New Roman"/>
          <w:color w:val="000000"/>
          <w:sz w:val="24"/>
          <w:szCs w:val="24"/>
          <w:highlight w:val="white"/>
          <w:rtl w:val="0"/>
        </w:rPr>
        <w:t xml:space="preserve"> score would likely be an excellent predictor of mortality in this patient population and the area under the receiver operating characteristic curve would be &gt;0.9.</w:t>
      </w:r>
    </w:p>
    <w:p w:rsidR="00000000" w:rsidDel="00000000" w:rsidP="00000000" w:rsidRDefault="00000000" w:rsidRPr="00000000" w14:paraId="000000C0">
      <w:pPr>
        <w:pStyle w:val="Heading3"/>
        <w:spacing w:after="0" w:before="0" w:line="240" w:lineRule="auto"/>
        <w:rPr>
          <w:rFonts w:ascii="Times New Roman" w:cs="Times New Roman" w:eastAsia="Times New Roman" w:hAnsi="Times New Roman"/>
          <w:color w:val="000000"/>
          <w:sz w:val="24"/>
          <w:szCs w:val="24"/>
          <w:highlight w:val="white"/>
        </w:rPr>
      </w:pPr>
      <w:bookmarkStart w:colFirst="0" w:colLast="0" w:name="_26in1rg" w:id="12"/>
      <w:bookmarkEnd w:id="12"/>
      <w:r w:rsidDel="00000000" w:rsidR="00000000" w:rsidRPr="00000000">
        <w:rPr>
          <w:rtl w:val="0"/>
        </w:rPr>
      </w:r>
    </w:p>
    <w:p w:rsidR="00000000" w:rsidDel="00000000" w:rsidP="00000000" w:rsidRDefault="00000000" w:rsidRPr="00000000" w14:paraId="000000C1">
      <w:pPr>
        <w:pStyle w:val="Heading3"/>
        <w:spacing w:after="0" w:before="0" w:line="240" w:lineRule="auto"/>
        <w:rPr>
          <w:rFonts w:ascii="Times New Roman" w:cs="Times New Roman" w:eastAsia="Times New Roman" w:hAnsi="Times New Roman"/>
          <w:color w:val="000000"/>
          <w:sz w:val="24"/>
          <w:szCs w:val="24"/>
          <w:highlight w:val="white"/>
        </w:rPr>
      </w:pPr>
      <w:bookmarkStart w:colFirst="0" w:colLast="0" w:name="_lnxbz9" w:id="13"/>
      <w:bookmarkEnd w:id="13"/>
      <w:r w:rsidDel="00000000" w:rsidR="00000000" w:rsidRPr="00000000">
        <w:rPr>
          <w:rFonts w:ascii="Times New Roman" w:cs="Times New Roman" w:eastAsia="Times New Roman" w:hAnsi="Times New Roman"/>
          <w:color w:val="000000"/>
          <w:sz w:val="24"/>
          <w:szCs w:val="24"/>
          <w:highlight w:val="white"/>
          <w:rtl w:val="0"/>
        </w:rPr>
        <w:t xml:space="preserve">The hazard ratio for patients on anticoagulation versus not on anticoagulation was 0.3588, This means that at any particular time, patients in the treatment group, (those on anticoagulation), were 64% less likely to experience mortality compared to the control group (patients not on anticoagulation). This result is backed by the Kaplan-Meier survival curves which show less mortality for patients on anticoagulation. These results prove that being on anticoagulation is a protective factor from death for patients with both ischemic bowel disease and atrial fibrillation. Patients with atrial fibrillation with </w:t>
      </w:r>
      <w:r w:rsidDel="00000000" w:rsidR="00000000" w:rsidRPr="00000000">
        <w:rPr>
          <w:rFonts w:ascii="Times New Roman" w:cs="Times New Roman" w:eastAsia="Times New Roman" w:hAnsi="Times New Roman"/>
          <w:color w:val="000000"/>
          <w:sz w:val="24"/>
          <w:szCs w:val="24"/>
          <w:rtl w:val="0"/>
        </w:rPr>
        <w:t xml:space="preserve">CHA2DS2-VASc</w:t>
      </w:r>
      <w:r w:rsidDel="00000000" w:rsidR="00000000" w:rsidRPr="00000000">
        <w:rPr>
          <w:rFonts w:ascii="Times New Roman" w:cs="Times New Roman" w:eastAsia="Times New Roman" w:hAnsi="Times New Roman"/>
          <w:color w:val="000000"/>
          <w:sz w:val="24"/>
          <w:szCs w:val="24"/>
          <w:highlight w:val="white"/>
          <w:rtl w:val="0"/>
        </w:rPr>
        <w:t xml:space="preserve"> score 2 or higher should definitely be placed on anticoagulation unless there are strong absolute contraindications present. </w:t>
      </w:r>
    </w:p>
    <w:p w:rsidR="00000000" w:rsidDel="00000000" w:rsidP="00000000" w:rsidRDefault="00000000" w:rsidRPr="00000000" w14:paraId="000000C2">
      <w:pPr>
        <w:pStyle w:val="Heading3"/>
        <w:spacing w:after="0" w:before="0" w:line="240" w:lineRule="auto"/>
        <w:rPr>
          <w:rFonts w:ascii="Times New Roman" w:cs="Times New Roman" w:eastAsia="Times New Roman" w:hAnsi="Times New Roman"/>
          <w:color w:val="000000"/>
          <w:sz w:val="24"/>
          <w:szCs w:val="24"/>
          <w:highlight w:val="white"/>
        </w:rPr>
      </w:pPr>
      <w:bookmarkStart w:colFirst="0" w:colLast="0" w:name="_35nkun2" w:id="14"/>
      <w:bookmarkEnd w:id="14"/>
      <w:r w:rsidDel="00000000" w:rsidR="00000000" w:rsidRPr="00000000">
        <w:rPr>
          <w:rtl w:val="0"/>
        </w:rPr>
      </w:r>
    </w:p>
    <w:p w:rsidR="00000000" w:rsidDel="00000000" w:rsidP="00000000" w:rsidRDefault="00000000" w:rsidRPr="00000000" w14:paraId="000000C3">
      <w:pPr>
        <w:pStyle w:val="Heading3"/>
        <w:spacing w:after="0" w:before="0" w:line="240" w:lineRule="auto"/>
        <w:rPr>
          <w:rFonts w:ascii="Times New Roman" w:cs="Times New Roman" w:eastAsia="Times New Roman" w:hAnsi="Times New Roman"/>
          <w:color w:val="000000"/>
          <w:sz w:val="24"/>
          <w:szCs w:val="24"/>
          <w:highlight w:val="white"/>
        </w:rPr>
      </w:pPr>
      <w:bookmarkStart w:colFirst="0" w:colLast="0" w:name="_1ksv4uv" w:id="15"/>
      <w:bookmarkEnd w:id="15"/>
      <w:r w:rsidDel="00000000" w:rsidR="00000000" w:rsidRPr="00000000">
        <w:rPr>
          <w:rFonts w:ascii="Times New Roman" w:cs="Times New Roman" w:eastAsia="Times New Roman" w:hAnsi="Times New Roman"/>
          <w:color w:val="000000"/>
          <w:sz w:val="24"/>
          <w:szCs w:val="24"/>
          <w:highlight w:val="white"/>
          <w:rtl w:val="0"/>
        </w:rPr>
        <w:t xml:space="preserve">For chronic mesenteric ischemia independent predictors of readmission to hospital at 30 days included non-elective index admission, chronic kidney disease, discharged  with home health care, or discharged to a skilled nursing facility[16]. Interestingly, neither female sex, which accounted for 70% of the overall patient population, nor increasing age, was independently associated with readmission [16]. Our project did not separate patients based on acute or chronic ischemic bowel disease; this will need to be investigated in future studies. </w:t>
        <w:br w:type="textWrapping"/>
      </w:r>
    </w:p>
    <w:p w:rsidR="00000000" w:rsidDel="00000000" w:rsidP="00000000" w:rsidRDefault="00000000" w:rsidRPr="00000000" w14:paraId="000000C4">
      <w:pPr>
        <w:spacing w:after="22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br w:type="textWrapping"/>
      </w:r>
      <w:r w:rsidDel="00000000" w:rsidR="00000000" w:rsidRPr="00000000">
        <w:rPr>
          <w:rFonts w:ascii="Times New Roman" w:cs="Times New Roman" w:eastAsia="Times New Roman" w:hAnsi="Times New Roman"/>
          <w:b w:val="1"/>
          <w:sz w:val="24"/>
          <w:szCs w:val="24"/>
          <w:rtl w:val="0"/>
        </w:rPr>
        <w:t xml:space="preserve">Limitations  </w:t>
      </w:r>
      <w:r w:rsidDel="00000000" w:rsidR="00000000" w:rsidRPr="00000000">
        <w:rPr>
          <w:rtl w:val="0"/>
        </w:rPr>
      </w:r>
    </w:p>
    <w:p w:rsidR="00000000" w:rsidDel="00000000" w:rsidP="00000000" w:rsidRDefault="00000000" w:rsidRPr="00000000" w14:paraId="000000C5">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There were limitations to this study. The sample size of n=65 provided statistical significance with p value &lt;0.05, however the study could have provided more information if the sample size was larger because then it would have had more power. The </w:t>
      </w:r>
      <w:r w:rsidDel="00000000" w:rsidR="00000000" w:rsidRPr="00000000">
        <w:rPr>
          <w:rFonts w:ascii="Times New Roman" w:cs="Times New Roman" w:eastAsia="Times New Roman" w:hAnsi="Times New Roman"/>
          <w:sz w:val="24"/>
          <w:szCs w:val="24"/>
          <w:rtl w:val="0"/>
        </w:rPr>
        <w:t xml:space="preserve">CHA2DS2-VASc</w:t>
      </w:r>
      <w:r w:rsidDel="00000000" w:rsidR="00000000" w:rsidRPr="00000000">
        <w:rPr>
          <w:rFonts w:ascii="Times New Roman" w:cs="Times New Roman" w:eastAsia="Times New Roman" w:hAnsi="Times New Roman"/>
          <w:sz w:val="24"/>
          <w:szCs w:val="24"/>
          <w:highlight w:val="white"/>
          <w:rtl w:val="0"/>
        </w:rPr>
        <w:t xml:space="preserve"> score would likely have been shown to be an excellent marker for predicting morbidity and mortality if the sample size was larger. </w:t>
      </w:r>
    </w:p>
    <w:p w:rsidR="00000000" w:rsidDel="00000000" w:rsidP="00000000" w:rsidRDefault="00000000" w:rsidRPr="00000000" w14:paraId="000000C6">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7">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Additionally, the patients could have been stratified even further. This study did not include patients with mechanical valves. It did not take into account whether or not the patients were taken for procedures, such as angiography and embolization or exploratory laparotomy, and the impact of procedures on mortality. Whether or not patients were taken for surgery or embolization could have confounded the final results. This could have impacted mortality as patients could have either survived longer or survived for a shorter time, based on the procedure they underwent. The patients could have also been stratified into those with acute ischemic bowel disease versus patients with chronic ischemic bowel disease. We did not take into account whether or not the patients had paroxysmal atrial fibrillation or permanent atrial fibrillation. These are all variables that can be examined in future studies.</w:t>
        <w:tab/>
        <w:tab/>
      </w:r>
    </w:p>
    <w:p w:rsidR="00000000" w:rsidDel="00000000" w:rsidP="00000000" w:rsidRDefault="00000000" w:rsidRPr="00000000" w14:paraId="000000C8">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9">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There were no techniques used to remove confounders. To offset this limitation of having good internal validity of </w:t>
      </w:r>
      <w:r w:rsidDel="00000000" w:rsidR="00000000" w:rsidRPr="00000000">
        <w:rPr>
          <w:rFonts w:ascii="Times New Roman" w:cs="Times New Roman" w:eastAsia="Times New Roman" w:hAnsi="Times New Roman"/>
          <w:sz w:val="24"/>
          <w:szCs w:val="24"/>
          <w:rtl w:val="0"/>
        </w:rPr>
        <w:t xml:space="preserve">CHA2DS2-VASc score</w:t>
      </w:r>
      <w:r w:rsidDel="00000000" w:rsidR="00000000" w:rsidRPr="00000000">
        <w:rPr>
          <w:rFonts w:ascii="Times New Roman" w:cs="Times New Roman" w:eastAsia="Times New Roman" w:hAnsi="Times New Roman"/>
          <w:sz w:val="24"/>
          <w:szCs w:val="24"/>
          <w:highlight w:val="white"/>
          <w:rtl w:val="0"/>
        </w:rPr>
        <w:t xml:space="preserve">, bootstrapping could have been a good tool to assessing internal validity [4]. The bootstrap is a statistical resampling procedure which can provide an appropriate level of fitness for the prediction model regarding to the study's data [4].  </w:t>
      </w:r>
    </w:p>
    <w:p w:rsidR="00000000" w:rsidDel="00000000" w:rsidP="00000000" w:rsidRDefault="00000000" w:rsidRPr="00000000" w14:paraId="000000CA">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B">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diagnoses were established by the International Statistical Classification of Diseases and Related Health Problems (ICD) codes, and some investigators might challenge the diagnostic accuracy [3]. Another factor that could have limited diagnostic accuracy was that most of the cases of ischemic bowel disease were diagnosed with computed tomography scans (CT), only a few cases were diagnosed with biopsy results or angiography- which is the gold standard. In one study, 35 patients for whom a CT scan was performed at the referring center, 25 were considered to be appropriately diagnosed; however, only 1 was considered to have been appropriately diagnosed in the 19 patients for whom a CT scan was not performed at the referring center [10]. Based on these small results, it is possible that detection bias could have been in our study because almost all patients were diagnosed by CT scan. </w:t>
      </w:r>
    </w:p>
    <w:p w:rsidR="00000000" w:rsidDel="00000000" w:rsidP="00000000" w:rsidRDefault="00000000" w:rsidRPr="00000000" w14:paraId="000000CC">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D">
      <w:pPr>
        <w:spacing w:line="240" w:lineRule="auto"/>
        <w:rPr>
          <w:rFonts w:ascii="Times New Roman" w:cs="Times New Roman" w:eastAsia="Times New Roman" w:hAnsi="Times New Roman"/>
          <w:sz w:val="24"/>
          <w:szCs w:val="24"/>
          <w:shd w:fill="fcfcfc" w:val="clear"/>
        </w:rPr>
      </w:pPr>
      <w:r w:rsidDel="00000000" w:rsidR="00000000" w:rsidRPr="00000000">
        <w:rPr>
          <w:rFonts w:ascii="Times New Roman" w:cs="Times New Roman" w:eastAsia="Times New Roman" w:hAnsi="Times New Roman"/>
          <w:sz w:val="24"/>
          <w:szCs w:val="24"/>
          <w:shd w:fill="fcfcfc" w:val="clear"/>
          <w:rtl w:val="0"/>
        </w:rPr>
        <w:t xml:space="preserve">There is also a lack of data regarding ablation therapy and left atrial occlusion devices in this population. There is a growing experience of </w:t>
      </w:r>
      <w:r w:rsidDel="00000000" w:rsidR="00000000" w:rsidRPr="00000000">
        <w:rPr>
          <w:rFonts w:ascii="Times New Roman" w:cs="Times New Roman" w:eastAsia="Times New Roman" w:hAnsi="Times New Roman"/>
          <w:sz w:val="24"/>
          <w:szCs w:val="24"/>
          <w:highlight w:val="white"/>
          <w:rtl w:val="0"/>
        </w:rPr>
        <w:t xml:space="preserve">direct oral anticoagulants </w:t>
      </w:r>
      <w:r w:rsidDel="00000000" w:rsidR="00000000" w:rsidRPr="00000000">
        <w:rPr>
          <w:rFonts w:ascii="Times New Roman" w:cs="Times New Roman" w:eastAsia="Times New Roman" w:hAnsi="Times New Roman"/>
          <w:sz w:val="24"/>
          <w:szCs w:val="24"/>
          <w:shd w:fill="fcfcfc" w:val="clear"/>
          <w:rtl w:val="0"/>
        </w:rPr>
        <w:t xml:space="preserve">for intracardiac thrombi. Warfarin is still appropriate for patients with prosthetic heart valves and left ventricular assist devices. [18]. Delays in sinus rhythm restoration may accelerate adverse atrial remodeling, leading to earlier arrhythmia recurrence and accelerating referral for AF ablation [19]. We did not examine any other means of treating atrial fibrillation except for anticoagulation. Not many of our patients were treated with ablation or Watchman at our hospital system. Although, </w:t>
      </w:r>
      <w:r w:rsidDel="00000000" w:rsidR="00000000" w:rsidRPr="00000000">
        <w:rPr>
          <w:rFonts w:ascii="Times New Roman" w:cs="Times New Roman" w:eastAsia="Times New Roman" w:hAnsi="Times New Roman"/>
          <w:sz w:val="24"/>
          <w:szCs w:val="24"/>
          <w:highlight w:val="white"/>
          <w:rtl w:val="0"/>
        </w:rPr>
        <w:t xml:space="preserve">it is rare for ischemic bowel disease to occur during optimal anticoagulation therapy, a significant amount of our patients developed ischemic bowel disease while on anticoagulation [7]. </w:t>
      </w:r>
      <w:r w:rsidDel="00000000" w:rsidR="00000000" w:rsidRPr="00000000">
        <w:rPr>
          <w:rtl w:val="0"/>
        </w:rPr>
      </w:r>
    </w:p>
    <w:p w:rsidR="00000000" w:rsidDel="00000000" w:rsidP="00000000" w:rsidRDefault="00000000" w:rsidRPr="00000000" w14:paraId="000000CE">
      <w:pPr>
        <w:spacing w:line="240" w:lineRule="auto"/>
        <w:rPr>
          <w:rFonts w:ascii="Times New Roman" w:cs="Times New Roman" w:eastAsia="Times New Roman" w:hAnsi="Times New Roman"/>
          <w:sz w:val="24"/>
          <w:szCs w:val="24"/>
          <w:shd w:fill="fcfcfc" w:val="clear"/>
        </w:rPr>
      </w:pPr>
      <w:r w:rsidDel="00000000" w:rsidR="00000000" w:rsidRPr="00000000">
        <w:rPr>
          <w:rtl w:val="0"/>
        </w:rPr>
      </w:r>
    </w:p>
    <w:p w:rsidR="00000000" w:rsidDel="00000000" w:rsidP="00000000" w:rsidRDefault="00000000" w:rsidRPr="00000000" w14:paraId="000000CF">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Finally, our investigation is a retrospective observational study which inherently has certain methodological drawbacks. </w:t>
      </w:r>
    </w:p>
    <w:p w:rsidR="00000000" w:rsidDel="00000000" w:rsidP="00000000" w:rsidRDefault="00000000" w:rsidRPr="00000000" w14:paraId="000000D0">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1">
      <w:pPr>
        <w:pStyle w:val="Heading3"/>
        <w:keepNext w:val="0"/>
        <w:keepLines w:val="0"/>
        <w:pBdr>
          <w:top w:color="000000" w:space="5" w:sz="0" w:val="none"/>
        </w:pBdr>
        <w:spacing w:after="40" w:before="0" w:line="294" w:lineRule="auto"/>
        <w:rPr>
          <w:rFonts w:ascii="Times New Roman" w:cs="Times New Roman" w:eastAsia="Times New Roman" w:hAnsi="Times New Roman"/>
          <w:color w:val="000000"/>
          <w:sz w:val="24"/>
          <w:szCs w:val="24"/>
        </w:rPr>
      </w:pPr>
      <w:bookmarkStart w:colFirst="0" w:colLast="0" w:name="_44sinio" w:id="16"/>
      <w:bookmarkEnd w:id="16"/>
      <w:r w:rsidDel="00000000" w:rsidR="00000000" w:rsidRPr="00000000">
        <w:rPr>
          <w:rFonts w:ascii="Times New Roman" w:cs="Times New Roman" w:eastAsia="Times New Roman" w:hAnsi="Times New Roman"/>
          <w:b w:val="1"/>
          <w:color w:val="000000"/>
          <w:sz w:val="24"/>
          <w:szCs w:val="24"/>
          <w:rtl w:val="0"/>
        </w:rPr>
        <w:t xml:space="preserve">Conclusions</w:t>
      </w:r>
      <w:r w:rsidDel="00000000" w:rsidR="00000000" w:rsidRPr="00000000">
        <w:rPr>
          <w:rtl w:val="0"/>
        </w:rPr>
      </w:r>
    </w:p>
    <w:p w:rsidR="00000000" w:rsidDel="00000000" w:rsidP="00000000" w:rsidRDefault="00000000" w:rsidRPr="00000000" w14:paraId="000000D2">
      <w:pPr>
        <w:spacing w:after="2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this study is</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novel because there are very few studies which have investigated the predictive role of CHA2DS2-VASc score and use of anticoagulation to analyze the outcomes, specifically morbidity and mortality for ischemic bowel disease among patients who also have atrial fibrillation.</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predictive power of the  CHA2DS2-VASc score was relatively low. However, we hypothesize that given a larger sample size of patients and thus more power, the ROC curve for the CHA2DS2-VASc score would be &gt;0.9 and it would likely be an excellent predictor of mortality. Our current results show that the CHA2DS2-VASc score had a statistically significant hazard ratio, demonstrating a score greater than 4 was associated with higher mortality.  Patients on anticoagulation also had less mortality than patients not on anticoagulation. Further studies are necessary to confirm our findings. Going forward, we recommend that physicians should opt for anticoagulation in patients with atrial fibrillation and ischemic bowel disease, unless anticoagulation is absolutely contraindicated because being on anticoagulation is likely a protective factor against the  morbidity and mortality seen in this patient population.</w:t>
        <w:tab/>
        <w:tab/>
        <w:tab/>
        <w:tab/>
      </w:r>
    </w:p>
    <w:p w:rsidR="00000000" w:rsidDel="00000000" w:rsidP="00000000" w:rsidRDefault="00000000" w:rsidRPr="00000000" w14:paraId="000000D3">
      <w:pPr>
        <w:pStyle w:val="Heading3"/>
        <w:keepNext w:val="0"/>
        <w:keepLines w:val="0"/>
        <w:pBdr>
          <w:top w:color="000000" w:space="5" w:sz="0" w:val="none"/>
        </w:pBdr>
        <w:spacing w:after="40" w:before="0" w:line="294" w:lineRule="auto"/>
        <w:rPr>
          <w:rFonts w:ascii="Times New Roman" w:cs="Times New Roman" w:eastAsia="Times New Roman" w:hAnsi="Times New Roman"/>
          <w:color w:val="000000"/>
          <w:sz w:val="24"/>
          <w:szCs w:val="24"/>
        </w:rPr>
      </w:pPr>
      <w:bookmarkStart w:colFirst="0" w:colLast="0" w:name="_2jxsxqh" w:id="17"/>
      <w:bookmarkEnd w:id="17"/>
      <w:r w:rsidDel="00000000" w:rsidR="00000000" w:rsidRPr="00000000">
        <w:rPr>
          <w:rFonts w:ascii="Times New Roman" w:cs="Times New Roman" w:eastAsia="Times New Roman" w:hAnsi="Times New Roman"/>
          <w:b w:val="1"/>
          <w:color w:val="000000"/>
          <w:sz w:val="24"/>
          <w:szCs w:val="24"/>
          <w:rtl w:val="0"/>
        </w:rPr>
        <w:t xml:space="preserve">References</w:t>
      </w:r>
      <w:r w:rsidDel="00000000" w:rsidR="00000000" w:rsidRPr="00000000">
        <w:rPr>
          <w:rFonts w:ascii="Times New Roman" w:cs="Times New Roman" w:eastAsia="Times New Roman" w:hAnsi="Times New Roman"/>
          <w:color w:val="000000"/>
          <w:sz w:val="24"/>
          <w:szCs w:val="24"/>
          <w:rtl w:val="0"/>
        </w:rPr>
        <w:tab/>
        <w:tab/>
        <w:tab/>
      </w:r>
    </w:p>
    <w:p w:rsidR="00000000" w:rsidDel="00000000" w:rsidP="00000000" w:rsidRDefault="00000000" w:rsidRPr="00000000" w14:paraId="000000D4">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Ayubi, Erfan, and Saeid Safiri. “Comments on CHA2DS2-VASc Score in the Prediction of Ischemic Bowel Disease among Patients with Atrial Fibrillation.” </w:t>
      </w:r>
      <w:r w:rsidDel="00000000" w:rsidR="00000000" w:rsidRPr="00000000">
        <w:rPr>
          <w:rFonts w:ascii="Times New Roman" w:cs="Times New Roman" w:eastAsia="Times New Roman" w:hAnsi="Times New Roman"/>
          <w:i w:val="1"/>
          <w:sz w:val="24"/>
          <w:szCs w:val="24"/>
          <w:rtl w:val="0"/>
        </w:rPr>
        <w:t xml:space="preserve">International Journal of Cardiology</w:t>
      </w:r>
      <w:r w:rsidDel="00000000" w:rsidR="00000000" w:rsidRPr="00000000">
        <w:rPr>
          <w:rFonts w:ascii="Times New Roman" w:cs="Times New Roman" w:eastAsia="Times New Roman" w:hAnsi="Times New Roman"/>
          <w:sz w:val="24"/>
          <w:szCs w:val="24"/>
          <w:rtl w:val="0"/>
        </w:rPr>
        <w:t xml:space="preserve">, vol. 242, 2017, p. 9., doi:10.1016/j.ijcard.2017.03.012.</w:t>
      </w:r>
    </w:p>
    <w:p w:rsidR="00000000" w:rsidDel="00000000" w:rsidP="00000000" w:rsidRDefault="00000000" w:rsidRPr="00000000" w14:paraId="000000D5">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Shahreyar, Muhammad, et al. “Predicting Outcomes In Patients With Atrial Fibrillation And Acute Mesenteric Ischemia.” </w:t>
      </w:r>
      <w:r w:rsidDel="00000000" w:rsidR="00000000" w:rsidRPr="00000000">
        <w:rPr>
          <w:rFonts w:ascii="Times New Roman" w:cs="Times New Roman" w:eastAsia="Times New Roman" w:hAnsi="Times New Roman"/>
          <w:i w:val="1"/>
          <w:sz w:val="24"/>
          <w:szCs w:val="24"/>
          <w:rtl w:val="0"/>
        </w:rPr>
        <w:t xml:space="preserve">Journal of the American College of Cardiology</w:t>
      </w:r>
      <w:r w:rsidDel="00000000" w:rsidR="00000000" w:rsidRPr="00000000">
        <w:rPr>
          <w:rFonts w:ascii="Times New Roman" w:cs="Times New Roman" w:eastAsia="Times New Roman" w:hAnsi="Times New Roman"/>
          <w:sz w:val="24"/>
          <w:szCs w:val="24"/>
          <w:rtl w:val="0"/>
        </w:rPr>
        <w:t xml:space="preserve">, vol. 67, no. 13, 2016, p. 717., doi:10.1016/s0735-1097(16)30718-5.</w:t>
      </w:r>
    </w:p>
    <w:p w:rsidR="00000000" w:rsidDel="00000000" w:rsidP="00000000" w:rsidRDefault="00000000" w:rsidRPr="00000000" w14:paraId="000000D6">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Hu, W. and Lin, C. (2017). Reply: CHA 2 DS 2 -VASc score in the prediction of ischemic bowel disease among patients with atrial fibrillation: Insights from a nationwide cohort. </w:t>
      </w:r>
      <w:r w:rsidDel="00000000" w:rsidR="00000000" w:rsidRPr="00000000">
        <w:rPr>
          <w:rFonts w:ascii="Times New Roman" w:cs="Times New Roman" w:eastAsia="Times New Roman" w:hAnsi="Times New Roman"/>
          <w:i w:val="1"/>
          <w:sz w:val="24"/>
          <w:szCs w:val="24"/>
          <w:highlight w:val="white"/>
          <w:rtl w:val="0"/>
        </w:rPr>
        <w:t xml:space="preserve">International Journal of Cardiology</w:t>
      </w:r>
      <w:r w:rsidDel="00000000" w:rsidR="00000000" w:rsidRPr="00000000">
        <w:rPr>
          <w:rFonts w:ascii="Times New Roman" w:cs="Times New Roman" w:eastAsia="Times New Roman" w:hAnsi="Times New Roman"/>
          <w:sz w:val="24"/>
          <w:szCs w:val="24"/>
          <w:highlight w:val="white"/>
          <w:rtl w:val="0"/>
        </w:rPr>
        <w:t xml:space="preserve">, 242, p.10.</w:t>
      </w:r>
      <w:r w:rsidDel="00000000" w:rsidR="00000000" w:rsidRPr="00000000">
        <w:rPr>
          <w:rtl w:val="0"/>
        </w:rPr>
      </w:r>
    </w:p>
    <w:p w:rsidR="00000000" w:rsidDel="00000000" w:rsidP="00000000" w:rsidRDefault="00000000" w:rsidRPr="00000000" w14:paraId="000000D7">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Cormier, Rene E, et al. “Abdominal Pain, Atherosclerosis, and Atrial Fibrillation.” </w:t>
      </w:r>
      <w:r w:rsidDel="00000000" w:rsidR="00000000" w:rsidRPr="00000000">
        <w:rPr>
          <w:rFonts w:ascii="Times New Roman" w:cs="Times New Roman" w:eastAsia="Times New Roman" w:hAnsi="Times New Roman"/>
          <w:i w:val="1"/>
          <w:sz w:val="24"/>
          <w:szCs w:val="24"/>
          <w:highlight w:val="white"/>
          <w:rtl w:val="0"/>
        </w:rPr>
        <w:t xml:space="preserve">SAGE Journals</w:t>
      </w:r>
      <w:r w:rsidDel="00000000" w:rsidR="00000000" w:rsidRPr="00000000">
        <w:rPr>
          <w:rFonts w:ascii="Times New Roman" w:cs="Times New Roman" w:eastAsia="Times New Roman" w:hAnsi="Times New Roman"/>
          <w:sz w:val="24"/>
          <w:szCs w:val="24"/>
          <w:highlight w:val="white"/>
          <w:rtl w:val="0"/>
        </w:rPr>
        <w:t xml:space="preserve">, journals.sagepub.com/doi/abs/10.1177/0272989X8200200309.</w:t>
      </w:r>
    </w:p>
    <w:p w:rsidR="00000000" w:rsidDel="00000000" w:rsidP="00000000" w:rsidRDefault="00000000" w:rsidRPr="00000000" w14:paraId="000000D8">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Colkesen, Yucel, et al. "Mesenteric Ischemia Secondary to Paroxysmal Atrial Fibrillation." </w:t>
      </w:r>
      <w:r w:rsidDel="00000000" w:rsidR="00000000" w:rsidRPr="00000000">
        <w:rPr>
          <w:rFonts w:ascii="Times New Roman" w:cs="Times New Roman" w:eastAsia="Times New Roman" w:hAnsi="Times New Roman"/>
          <w:i w:val="1"/>
          <w:sz w:val="24"/>
          <w:szCs w:val="24"/>
          <w:highlight w:val="white"/>
          <w:rtl w:val="0"/>
        </w:rPr>
        <w:t xml:space="preserve">JACC: Cardiovascular Interventions</w:t>
      </w:r>
      <w:r w:rsidDel="00000000" w:rsidR="00000000" w:rsidRPr="00000000">
        <w:rPr>
          <w:rFonts w:ascii="Times New Roman" w:cs="Times New Roman" w:eastAsia="Times New Roman" w:hAnsi="Times New Roman"/>
          <w:sz w:val="24"/>
          <w:szCs w:val="24"/>
          <w:highlight w:val="white"/>
          <w:rtl w:val="0"/>
        </w:rPr>
        <w:t xml:space="preserve">, vol. 9, no. 17, 2016, pp. E169-e170.</w:t>
      </w:r>
    </w:p>
    <w:p w:rsidR="00000000" w:rsidDel="00000000" w:rsidP="00000000" w:rsidRDefault="00000000" w:rsidRPr="00000000" w14:paraId="000000D9">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Gosk-Bierska, Izabela, et al. "Role of Platelets in Thromboembolism in Patients with Atrial Fibrillation." </w:t>
      </w:r>
      <w:r w:rsidDel="00000000" w:rsidR="00000000" w:rsidRPr="00000000">
        <w:rPr>
          <w:rFonts w:ascii="Times New Roman" w:cs="Times New Roman" w:eastAsia="Times New Roman" w:hAnsi="Times New Roman"/>
          <w:i w:val="1"/>
          <w:sz w:val="24"/>
          <w:szCs w:val="24"/>
          <w:highlight w:val="white"/>
          <w:rtl w:val="0"/>
        </w:rPr>
        <w:t xml:space="preserve">Advances in Clinical and Experimental Medicine</w:t>
      </w:r>
      <w:r w:rsidDel="00000000" w:rsidR="00000000" w:rsidRPr="00000000">
        <w:rPr>
          <w:rFonts w:ascii="Times New Roman" w:cs="Times New Roman" w:eastAsia="Times New Roman" w:hAnsi="Times New Roman"/>
          <w:sz w:val="24"/>
          <w:szCs w:val="24"/>
          <w:highlight w:val="white"/>
          <w:rtl w:val="0"/>
        </w:rPr>
        <w:t xml:space="preserve">, vol. 25, no. 1, 2016, pp. 163-171.</w:t>
      </w:r>
    </w:p>
    <w:p w:rsidR="00000000" w:rsidDel="00000000" w:rsidP="00000000" w:rsidRDefault="00000000" w:rsidRPr="00000000" w14:paraId="000000DA">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Kim, Boo-Gyoung, et al. "Successful Percutaneous Aspiration Thrombectomy for Acute Mesenteric Ischemia in a Patient With Atrial Fibrillation Despite Optimal Anticoagulation Therapy." </w:t>
      </w:r>
      <w:r w:rsidDel="00000000" w:rsidR="00000000" w:rsidRPr="00000000">
        <w:rPr>
          <w:rFonts w:ascii="Times New Roman" w:cs="Times New Roman" w:eastAsia="Times New Roman" w:hAnsi="Times New Roman"/>
          <w:i w:val="1"/>
          <w:sz w:val="24"/>
          <w:szCs w:val="24"/>
          <w:highlight w:val="white"/>
          <w:rtl w:val="0"/>
        </w:rPr>
        <w:t xml:space="preserve">Canadian Journal of Cardiology</w:t>
      </w:r>
      <w:r w:rsidDel="00000000" w:rsidR="00000000" w:rsidRPr="00000000">
        <w:rPr>
          <w:rFonts w:ascii="Times New Roman" w:cs="Times New Roman" w:eastAsia="Times New Roman" w:hAnsi="Times New Roman"/>
          <w:sz w:val="24"/>
          <w:szCs w:val="24"/>
          <w:highlight w:val="white"/>
          <w:rtl w:val="0"/>
        </w:rPr>
        <w:t xml:space="preserve">, vol. 29, no. 10, 2013, pp. 1329.e5-1329.e7.</w:t>
      </w:r>
    </w:p>
    <w:p w:rsidR="00000000" w:rsidDel="00000000" w:rsidP="00000000" w:rsidRDefault="00000000" w:rsidRPr="00000000" w14:paraId="000000DB">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Menke, Jan, et al. "Thromboembolism in Atrial Fibrillation." </w:t>
      </w:r>
      <w:r w:rsidDel="00000000" w:rsidR="00000000" w:rsidRPr="00000000">
        <w:rPr>
          <w:rFonts w:ascii="Times New Roman" w:cs="Times New Roman" w:eastAsia="Times New Roman" w:hAnsi="Times New Roman"/>
          <w:i w:val="1"/>
          <w:sz w:val="24"/>
          <w:szCs w:val="24"/>
          <w:highlight w:val="white"/>
          <w:rtl w:val="0"/>
        </w:rPr>
        <w:t xml:space="preserve">The American Journal of Cardiology</w:t>
      </w:r>
      <w:r w:rsidDel="00000000" w:rsidR="00000000" w:rsidRPr="00000000">
        <w:rPr>
          <w:rFonts w:ascii="Times New Roman" w:cs="Times New Roman" w:eastAsia="Times New Roman" w:hAnsi="Times New Roman"/>
          <w:sz w:val="24"/>
          <w:szCs w:val="24"/>
          <w:highlight w:val="white"/>
          <w:rtl w:val="0"/>
        </w:rPr>
        <w:t xml:space="preserve">, vol. 105, no. 4, 2010, pp. 502-510.</w:t>
      </w:r>
    </w:p>
    <w:p w:rsidR="00000000" w:rsidDel="00000000" w:rsidP="00000000" w:rsidRDefault="00000000" w:rsidRPr="00000000" w14:paraId="000000DC">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Cheng, Liting, and Yongquan Wu. "Mesenteric Ischemia and Myocardial Infarction Associated with Atrial Fibrillation." </w:t>
      </w:r>
      <w:r w:rsidDel="00000000" w:rsidR="00000000" w:rsidRPr="00000000">
        <w:rPr>
          <w:rFonts w:ascii="Times New Roman" w:cs="Times New Roman" w:eastAsia="Times New Roman" w:hAnsi="Times New Roman"/>
          <w:i w:val="1"/>
          <w:sz w:val="24"/>
          <w:szCs w:val="24"/>
          <w:highlight w:val="white"/>
          <w:rtl w:val="0"/>
        </w:rPr>
        <w:t xml:space="preserve">Case Reports in Cardiology</w:t>
      </w:r>
      <w:r w:rsidDel="00000000" w:rsidR="00000000" w:rsidRPr="00000000">
        <w:rPr>
          <w:rFonts w:ascii="Times New Roman" w:cs="Times New Roman" w:eastAsia="Times New Roman" w:hAnsi="Times New Roman"/>
          <w:sz w:val="24"/>
          <w:szCs w:val="24"/>
          <w:highlight w:val="white"/>
          <w:rtl w:val="0"/>
        </w:rPr>
        <w:t xml:space="preserve">, vol. 2018, 2018, pp. 1-3.</w:t>
      </w:r>
    </w:p>
    <w:p w:rsidR="00000000" w:rsidDel="00000000" w:rsidP="00000000" w:rsidRDefault="00000000" w:rsidRPr="00000000" w14:paraId="000000DD">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Kim, Hyung-Kee, et al. "Effect of Clinical Suspicion by Referral Physician and Early Outcomes in Patients with Acute Superior Mesenteric Artery Embolism." </w:t>
      </w:r>
      <w:r w:rsidDel="00000000" w:rsidR="00000000" w:rsidRPr="00000000">
        <w:rPr>
          <w:rFonts w:ascii="Times New Roman" w:cs="Times New Roman" w:eastAsia="Times New Roman" w:hAnsi="Times New Roman"/>
          <w:i w:val="1"/>
          <w:sz w:val="24"/>
          <w:szCs w:val="24"/>
          <w:highlight w:val="white"/>
          <w:rtl w:val="0"/>
        </w:rPr>
        <w:t xml:space="preserve">Vascular Specialist International</w:t>
      </w:r>
      <w:r w:rsidDel="00000000" w:rsidR="00000000" w:rsidRPr="00000000">
        <w:rPr>
          <w:rFonts w:ascii="Times New Roman" w:cs="Times New Roman" w:eastAsia="Times New Roman" w:hAnsi="Times New Roman"/>
          <w:sz w:val="24"/>
          <w:szCs w:val="24"/>
          <w:highlight w:val="white"/>
          <w:rtl w:val="0"/>
        </w:rPr>
        <w:t xml:space="preserve">, vol. 33, no. 3, 2017, pp. 99-107.</w:t>
      </w:r>
    </w:p>
    <w:p w:rsidR="00000000" w:rsidDel="00000000" w:rsidP="00000000" w:rsidRDefault="00000000" w:rsidRPr="00000000" w14:paraId="000000DE">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Zettervall, Sara L., et al. "Trends in Treatment and Mortality for Mesenteric Ischemia in the United States from 2000 to 2012." </w:t>
      </w:r>
      <w:r w:rsidDel="00000000" w:rsidR="00000000" w:rsidRPr="00000000">
        <w:rPr>
          <w:rFonts w:ascii="Times New Roman" w:cs="Times New Roman" w:eastAsia="Times New Roman" w:hAnsi="Times New Roman"/>
          <w:i w:val="1"/>
          <w:sz w:val="24"/>
          <w:szCs w:val="24"/>
          <w:highlight w:val="white"/>
          <w:rtl w:val="0"/>
        </w:rPr>
        <w:t xml:space="preserve">Annals of Vascular Surgery</w:t>
      </w:r>
      <w:r w:rsidDel="00000000" w:rsidR="00000000" w:rsidRPr="00000000">
        <w:rPr>
          <w:rFonts w:ascii="Times New Roman" w:cs="Times New Roman" w:eastAsia="Times New Roman" w:hAnsi="Times New Roman"/>
          <w:sz w:val="24"/>
          <w:szCs w:val="24"/>
          <w:highlight w:val="white"/>
          <w:rtl w:val="0"/>
        </w:rPr>
        <w:t xml:space="preserve">, vol. 42, 2017, pp. 111-119.</w:t>
      </w:r>
    </w:p>
    <w:p w:rsidR="00000000" w:rsidDel="00000000" w:rsidP="00000000" w:rsidRDefault="00000000" w:rsidRPr="00000000" w14:paraId="000000DF">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Bourcier, Simon, et al. "Diagnosis of non-occlusive acute mesenteric ischemia in the intensive care unit." </w:t>
      </w:r>
      <w:r w:rsidDel="00000000" w:rsidR="00000000" w:rsidRPr="00000000">
        <w:rPr>
          <w:rFonts w:ascii="Times New Roman" w:cs="Times New Roman" w:eastAsia="Times New Roman" w:hAnsi="Times New Roman"/>
          <w:i w:val="1"/>
          <w:sz w:val="24"/>
          <w:szCs w:val="24"/>
          <w:highlight w:val="white"/>
          <w:rtl w:val="0"/>
        </w:rPr>
        <w:t xml:space="preserve">Annals of Intensive Care</w:t>
      </w:r>
      <w:r w:rsidDel="00000000" w:rsidR="00000000" w:rsidRPr="00000000">
        <w:rPr>
          <w:rFonts w:ascii="Times New Roman" w:cs="Times New Roman" w:eastAsia="Times New Roman" w:hAnsi="Times New Roman"/>
          <w:sz w:val="24"/>
          <w:szCs w:val="24"/>
          <w:highlight w:val="white"/>
          <w:rtl w:val="0"/>
        </w:rPr>
        <w:t xml:space="preserve">, vol. 6, no. 1, 2016.</w:t>
      </w:r>
    </w:p>
    <w:p w:rsidR="00000000" w:rsidDel="00000000" w:rsidP="00000000" w:rsidRDefault="00000000" w:rsidRPr="00000000" w14:paraId="000000E0">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Mitsuyoshi, Akira, et al. "What We Can Learn from Cases of Synchronous Acute Mesenteric Obstruction and Nonocclusive Mesenteric Ischemia: How to Reduce the Acute Mesenteric Ischemia-Related Mortality Rate." </w:t>
      </w:r>
      <w:r w:rsidDel="00000000" w:rsidR="00000000" w:rsidRPr="00000000">
        <w:rPr>
          <w:rFonts w:ascii="Times New Roman" w:cs="Times New Roman" w:eastAsia="Times New Roman" w:hAnsi="Times New Roman"/>
          <w:i w:val="1"/>
          <w:sz w:val="24"/>
          <w:szCs w:val="24"/>
          <w:highlight w:val="white"/>
          <w:rtl w:val="0"/>
        </w:rPr>
        <w:t xml:space="preserve">Annals of Vascular Surgery</w:t>
      </w:r>
      <w:r w:rsidDel="00000000" w:rsidR="00000000" w:rsidRPr="00000000">
        <w:rPr>
          <w:rFonts w:ascii="Times New Roman" w:cs="Times New Roman" w:eastAsia="Times New Roman" w:hAnsi="Times New Roman"/>
          <w:sz w:val="24"/>
          <w:szCs w:val="24"/>
          <w:highlight w:val="white"/>
          <w:rtl w:val="0"/>
        </w:rPr>
        <w:t xml:space="preserve">, vol. 32, 2016, pp. 133.e11-133.e17.</w:t>
      </w:r>
    </w:p>
    <w:p w:rsidR="00000000" w:rsidDel="00000000" w:rsidP="00000000" w:rsidRDefault="00000000" w:rsidRPr="00000000" w14:paraId="000000E1">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ACOSTA, S., et al. "Fatal nonocclusive mesenteric ischaemia: population-based incidence and risk factors." </w:t>
      </w:r>
      <w:r w:rsidDel="00000000" w:rsidR="00000000" w:rsidRPr="00000000">
        <w:rPr>
          <w:rFonts w:ascii="Times New Roman" w:cs="Times New Roman" w:eastAsia="Times New Roman" w:hAnsi="Times New Roman"/>
          <w:i w:val="1"/>
          <w:sz w:val="24"/>
          <w:szCs w:val="24"/>
          <w:highlight w:val="white"/>
          <w:rtl w:val="0"/>
        </w:rPr>
        <w:t xml:space="preserve">Journal of Internal Medicine</w:t>
      </w:r>
      <w:r w:rsidDel="00000000" w:rsidR="00000000" w:rsidRPr="00000000">
        <w:rPr>
          <w:rFonts w:ascii="Times New Roman" w:cs="Times New Roman" w:eastAsia="Times New Roman" w:hAnsi="Times New Roman"/>
          <w:sz w:val="24"/>
          <w:szCs w:val="24"/>
          <w:highlight w:val="white"/>
          <w:rtl w:val="0"/>
        </w:rPr>
        <w:t xml:space="preserve">, vol. 259, no. 3, 2006, pp. 305-313.</w:t>
      </w:r>
    </w:p>
    <w:p w:rsidR="00000000" w:rsidDel="00000000" w:rsidP="00000000" w:rsidRDefault="00000000" w:rsidRPr="00000000" w14:paraId="000000E2">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"Management of Acute Mesenteric Ischemia." </w:t>
      </w:r>
      <w:r w:rsidDel="00000000" w:rsidR="00000000" w:rsidRPr="00000000">
        <w:rPr>
          <w:rFonts w:ascii="Times New Roman" w:cs="Times New Roman" w:eastAsia="Times New Roman" w:hAnsi="Times New Roman"/>
          <w:i w:val="1"/>
          <w:sz w:val="24"/>
          <w:szCs w:val="24"/>
          <w:highlight w:val="white"/>
          <w:rtl w:val="0"/>
        </w:rPr>
        <w:t xml:space="preserve">New England Journal of Medicine</w:t>
      </w:r>
      <w:r w:rsidDel="00000000" w:rsidR="00000000" w:rsidRPr="00000000">
        <w:rPr>
          <w:rFonts w:ascii="Times New Roman" w:cs="Times New Roman" w:eastAsia="Times New Roman" w:hAnsi="Times New Roman"/>
          <w:sz w:val="24"/>
          <w:szCs w:val="24"/>
          <w:highlight w:val="white"/>
          <w:rtl w:val="0"/>
        </w:rPr>
        <w:t xml:space="preserve">, vol. 335, no. 8, 1996, pp. 594-596.</w:t>
      </w:r>
    </w:p>
    <w:p w:rsidR="00000000" w:rsidDel="00000000" w:rsidP="00000000" w:rsidRDefault="00000000" w:rsidRPr="00000000" w14:paraId="000000E3">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Lima, Fabio V., et al. "Thirty-day readmission after endovascular or surgical revascularization for chronic mesenteric ischemia: Insights from the Nationwide Readmissions Database." </w:t>
      </w:r>
      <w:r w:rsidDel="00000000" w:rsidR="00000000" w:rsidRPr="00000000">
        <w:rPr>
          <w:rFonts w:ascii="Times New Roman" w:cs="Times New Roman" w:eastAsia="Times New Roman" w:hAnsi="Times New Roman"/>
          <w:i w:val="1"/>
          <w:sz w:val="24"/>
          <w:szCs w:val="24"/>
          <w:highlight w:val="white"/>
          <w:rtl w:val="0"/>
        </w:rPr>
        <w:t xml:space="preserve">Vascular Medicine</w:t>
      </w:r>
      <w:r w:rsidDel="00000000" w:rsidR="00000000" w:rsidRPr="00000000">
        <w:rPr>
          <w:rFonts w:ascii="Times New Roman" w:cs="Times New Roman" w:eastAsia="Times New Roman" w:hAnsi="Times New Roman"/>
          <w:sz w:val="24"/>
          <w:szCs w:val="24"/>
          <w:highlight w:val="white"/>
          <w:rtl w:val="0"/>
        </w:rPr>
        <w:t xml:space="preserve">, 2019, p. 1358863X1881681.</w:t>
      </w:r>
    </w:p>
    <w:p w:rsidR="00000000" w:rsidDel="00000000" w:rsidP="00000000" w:rsidRDefault="00000000" w:rsidRPr="00000000" w14:paraId="000000E4">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Heiss, Christian. "Chronische mesenteriale Ischämie." </w:t>
      </w:r>
      <w:r w:rsidDel="00000000" w:rsidR="00000000" w:rsidRPr="00000000">
        <w:rPr>
          <w:rFonts w:ascii="Times New Roman" w:cs="Times New Roman" w:eastAsia="Times New Roman" w:hAnsi="Times New Roman"/>
          <w:i w:val="1"/>
          <w:sz w:val="24"/>
          <w:szCs w:val="24"/>
          <w:highlight w:val="white"/>
          <w:rtl w:val="0"/>
        </w:rPr>
        <w:t xml:space="preserve">DMW - Deutsche Medizinische Wochenschrift</w:t>
      </w:r>
      <w:r w:rsidDel="00000000" w:rsidR="00000000" w:rsidRPr="00000000">
        <w:rPr>
          <w:rFonts w:ascii="Times New Roman" w:cs="Times New Roman" w:eastAsia="Times New Roman" w:hAnsi="Times New Roman"/>
          <w:sz w:val="24"/>
          <w:szCs w:val="24"/>
          <w:highlight w:val="white"/>
          <w:rtl w:val="0"/>
        </w:rPr>
        <w:t xml:space="preserve">, vol. 143, no. 20, 2018, pp. 1426-1429.</w:t>
      </w:r>
    </w:p>
    <w:p w:rsidR="00000000" w:rsidDel="00000000" w:rsidP="00000000" w:rsidRDefault="00000000" w:rsidRPr="00000000" w14:paraId="000000E5">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Rhea, Isaac B., et al. "Anticoagulation of Cardiovascular Conditions in the Cancer Patient: Review of Old and New Therapies." </w:t>
      </w:r>
      <w:r w:rsidDel="00000000" w:rsidR="00000000" w:rsidRPr="00000000">
        <w:rPr>
          <w:rFonts w:ascii="Times New Roman" w:cs="Times New Roman" w:eastAsia="Times New Roman" w:hAnsi="Times New Roman"/>
          <w:i w:val="1"/>
          <w:sz w:val="24"/>
          <w:szCs w:val="24"/>
          <w:highlight w:val="white"/>
          <w:rtl w:val="0"/>
        </w:rPr>
        <w:t xml:space="preserve">Current Oncology Reports</w:t>
      </w:r>
      <w:r w:rsidDel="00000000" w:rsidR="00000000" w:rsidRPr="00000000">
        <w:rPr>
          <w:rFonts w:ascii="Times New Roman" w:cs="Times New Roman" w:eastAsia="Times New Roman" w:hAnsi="Times New Roman"/>
          <w:sz w:val="24"/>
          <w:szCs w:val="24"/>
          <w:highlight w:val="white"/>
          <w:rtl w:val="0"/>
        </w:rPr>
        <w:t xml:space="preserve">, vol. 21, no. 5, 2019.</w:t>
      </w:r>
    </w:p>
    <w:p w:rsidR="00000000" w:rsidDel="00000000" w:rsidP="00000000" w:rsidRDefault="00000000" w:rsidRPr="00000000" w14:paraId="000000E6">
      <w:pPr>
        <w:numPr>
          <w:ilvl w:val="0"/>
          <w:numId w:val="1"/>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Voskoboinik, Aleksandr, et al. "A comparison of early versus delayed elective electrical cardioversion for recurrent episodes of persistent atrial fibrillation: A multi-center study." </w:t>
      </w:r>
      <w:r w:rsidDel="00000000" w:rsidR="00000000" w:rsidRPr="00000000">
        <w:rPr>
          <w:rFonts w:ascii="Times New Roman" w:cs="Times New Roman" w:eastAsia="Times New Roman" w:hAnsi="Times New Roman"/>
          <w:i w:val="1"/>
          <w:sz w:val="24"/>
          <w:szCs w:val="24"/>
          <w:highlight w:val="white"/>
          <w:rtl w:val="0"/>
        </w:rPr>
        <w:t xml:space="preserve">International Journal of Cardiology</w:t>
      </w:r>
      <w:r w:rsidDel="00000000" w:rsidR="00000000" w:rsidRPr="00000000">
        <w:rPr>
          <w:rFonts w:ascii="Times New Roman" w:cs="Times New Roman" w:eastAsia="Times New Roman" w:hAnsi="Times New Roman"/>
          <w:sz w:val="24"/>
          <w:szCs w:val="24"/>
          <w:highlight w:val="white"/>
          <w:rtl w:val="0"/>
        </w:rPr>
        <w:t xml:space="preserve">, vol. 284, 2019, pp. 33-37.</w:t>
      </w:r>
    </w:p>
    <w:p w:rsidR="00000000" w:rsidDel="00000000" w:rsidP="00000000" w:rsidRDefault="00000000" w:rsidRPr="00000000" w14:paraId="000000E7">
      <w:pPr>
        <w:numPr>
          <w:ilvl w:val="0"/>
          <w:numId w:val="1"/>
        </w:numPr>
        <w:pBdr>
          <w:bottom w:color="000000" w:space="12" w:sz="0" w:val="none"/>
        </w:pBdr>
        <w:spacing w:line="240" w:lineRule="auto"/>
        <w:ind w:left="720" w:hanging="360"/>
        <w:rPr>
          <w:rFonts w:ascii="Times New Roman" w:cs="Times New Roman" w:eastAsia="Times New Roman" w:hAnsi="Times New Roman"/>
          <w:color w:val="232323"/>
          <w:sz w:val="24"/>
          <w:szCs w:val="24"/>
        </w:rPr>
      </w:pPr>
      <w:r w:rsidDel="00000000" w:rsidR="00000000" w:rsidRPr="00000000">
        <w:rPr>
          <w:rFonts w:ascii="Times New Roman" w:cs="Times New Roman" w:eastAsia="Times New Roman" w:hAnsi="Times New Roman"/>
          <w:sz w:val="24"/>
          <w:szCs w:val="24"/>
          <w:highlight w:val="white"/>
          <w:rtl w:val="0"/>
        </w:rPr>
        <w:t xml:space="preserve">Reinus JF, Brandt LJ, Boley SJ. Ischemic diseases of the bowel. </w:t>
      </w:r>
      <w:r w:rsidDel="00000000" w:rsidR="00000000" w:rsidRPr="00000000">
        <w:rPr>
          <w:rFonts w:ascii="Times New Roman" w:cs="Times New Roman" w:eastAsia="Times New Roman" w:hAnsi="Times New Roman"/>
          <w:i w:val="1"/>
          <w:sz w:val="24"/>
          <w:szCs w:val="24"/>
          <w:highlight w:val="white"/>
          <w:rtl w:val="0"/>
        </w:rPr>
        <w:t xml:space="preserve">Gastroenterol Clin North Am </w:t>
      </w:r>
      <w:r w:rsidDel="00000000" w:rsidR="00000000" w:rsidRPr="00000000">
        <w:rPr>
          <w:rFonts w:ascii="Times New Roman" w:cs="Times New Roman" w:eastAsia="Times New Roman" w:hAnsi="Times New Roman"/>
          <w:sz w:val="24"/>
          <w:szCs w:val="24"/>
          <w:highlight w:val="white"/>
          <w:rtl w:val="0"/>
        </w:rPr>
        <w:t xml:space="preserve">1990; 19:319.</w:t>
      </w:r>
      <w:r w:rsidDel="00000000" w:rsidR="00000000" w:rsidRPr="00000000">
        <w:rPr>
          <w:rtl w:val="0"/>
        </w:rPr>
      </w:r>
    </w:p>
    <w:p w:rsidR="00000000" w:rsidDel="00000000" w:rsidP="00000000" w:rsidRDefault="00000000" w:rsidRPr="00000000" w14:paraId="000000E8">
      <w:pPr>
        <w:numPr>
          <w:ilvl w:val="0"/>
          <w:numId w:val="1"/>
        </w:numPr>
        <w:pBdr>
          <w:bottom w:color="000000" w:space="12" w:sz="0" w:val="none"/>
        </w:pBdr>
        <w:spacing w:after="240" w:line="240" w:lineRule="auto"/>
        <w:ind w:left="720" w:hanging="360"/>
        <w:rPr>
          <w:rFonts w:ascii="Times New Roman" w:cs="Times New Roman" w:eastAsia="Times New Roman" w:hAnsi="Times New Roman"/>
          <w:color w:val="232323"/>
          <w:sz w:val="24"/>
          <w:szCs w:val="24"/>
        </w:rPr>
      </w:pPr>
      <w:r w:rsidDel="00000000" w:rsidR="00000000" w:rsidRPr="00000000">
        <w:rPr>
          <w:rFonts w:ascii="Times New Roman" w:cs="Times New Roman" w:eastAsia="Times New Roman" w:hAnsi="Times New Roman"/>
          <w:sz w:val="24"/>
          <w:szCs w:val="24"/>
          <w:highlight w:val="white"/>
          <w:rtl w:val="0"/>
        </w:rPr>
        <w:t xml:space="preserve">Cappell MS. Intestinal (mesenteric) vasculopathy. I. Acute superior mesenteric arteriopathy and venopathy. </w:t>
      </w:r>
      <w:r w:rsidDel="00000000" w:rsidR="00000000" w:rsidRPr="00000000">
        <w:rPr>
          <w:rFonts w:ascii="Times New Roman" w:cs="Times New Roman" w:eastAsia="Times New Roman" w:hAnsi="Times New Roman"/>
          <w:i w:val="1"/>
          <w:sz w:val="24"/>
          <w:szCs w:val="24"/>
          <w:highlight w:val="white"/>
          <w:rtl w:val="0"/>
        </w:rPr>
        <w:t xml:space="preserve">Gastroenterol Clin North Am </w:t>
      </w:r>
      <w:r w:rsidDel="00000000" w:rsidR="00000000" w:rsidRPr="00000000">
        <w:rPr>
          <w:rFonts w:ascii="Times New Roman" w:cs="Times New Roman" w:eastAsia="Times New Roman" w:hAnsi="Times New Roman"/>
          <w:sz w:val="24"/>
          <w:szCs w:val="24"/>
          <w:highlight w:val="white"/>
          <w:rtl w:val="0"/>
        </w:rPr>
        <w:t xml:space="preserve">1998; 27:783.</w:t>
      </w:r>
      <w:r w:rsidDel="00000000" w:rsidR="00000000" w:rsidRPr="00000000">
        <w:rPr>
          <w:rtl w:val="0"/>
        </w:rPr>
      </w:r>
    </w:p>
    <w:p w:rsidR="00000000" w:rsidDel="00000000" w:rsidP="00000000" w:rsidRDefault="00000000" w:rsidRPr="00000000" w14:paraId="000000E9">
      <w:pPr>
        <w:spacing w:line="240" w:lineRule="auto"/>
        <w:ind w:left="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EA">
      <w:pPr>
        <w:shd w:fill="ffffff" w:val="clear"/>
        <w:spacing w:after="22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shd w:fill="ffffff" w:val="clear"/>
        <w:spacing w:after="22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spacing w:after="220" w:line="360" w:lineRule="auto"/>
        <w:rPr>
          <w:rFonts w:ascii="Times New Roman" w:cs="Times New Roman" w:eastAsia="Times New Roman" w:hAnsi="Times New Roman"/>
          <w:b w:val="1"/>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