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9242D9" w14:textId="77777777" w:rsidR="00310127" w:rsidRPr="00DB1B09" w:rsidRDefault="00310127" w:rsidP="00310127">
      <w:pPr>
        <w:widowControl w:val="0"/>
        <w:autoSpaceDE w:val="0"/>
        <w:autoSpaceDN w:val="0"/>
        <w:adjustRightInd w:val="0"/>
        <w:spacing w:line="276" w:lineRule="auto"/>
        <w:outlineLvl w:val="0"/>
        <w:rPr>
          <w:b/>
          <w:bCs/>
          <w:sz w:val="28"/>
          <w:u w:color="0000FF"/>
        </w:rPr>
      </w:pPr>
      <w:r w:rsidRPr="00DB1B09">
        <w:rPr>
          <w:b/>
          <w:bCs/>
          <w:sz w:val="28"/>
          <w:u w:color="0000FF"/>
        </w:rPr>
        <w:t>Abstract</w:t>
      </w:r>
      <w:bookmarkStart w:id="0" w:name="_GoBack"/>
      <w:bookmarkEnd w:id="0"/>
    </w:p>
    <w:p w14:paraId="027025CB" w14:textId="30F0292C" w:rsidR="008F7F2A" w:rsidRPr="008F7F2A" w:rsidRDefault="008F7F2A" w:rsidP="008F7F2A">
      <w:pPr>
        <w:widowControl w:val="0"/>
        <w:tabs>
          <w:tab w:val="left" w:pos="0"/>
          <w:tab w:val="left" w:pos="848"/>
        </w:tabs>
        <w:autoSpaceDE w:val="0"/>
        <w:autoSpaceDN w:val="0"/>
        <w:adjustRightInd w:val="0"/>
        <w:spacing w:before="120"/>
        <w:rPr>
          <w:b/>
          <w:iCs/>
        </w:rPr>
      </w:pPr>
      <w:r w:rsidRPr="008F7F2A">
        <w:rPr>
          <w:b/>
          <w:iCs/>
        </w:rPr>
        <w:t>High frequency of novel causative mutations in β-MYH7 among Indian Cardiomyopathies</w:t>
      </w:r>
    </w:p>
    <w:p w14:paraId="0CC5E027" w14:textId="77777777" w:rsidR="00310127" w:rsidRDefault="00310127" w:rsidP="00310127"/>
    <w:p w14:paraId="1E34E2F4" w14:textId="77777777" w:rsidR="00146134" w:rsidRPr="000B322E" w:rsidRDefault="00310127" w:rsidP="00310127">
      <w:pPr>
        <w:widowControl w:val="0"/>
        <w:autoSpaceDE w:val="0"/>
        <w:autoSpaceDN w:val="0"/>
        <w:adjustRightInd w:val="0"/>
        <w:spacing w:line="276" w:lineRule="auto"/>
        <w:outlineLvl w:val="0"/>
        <w:rPr>
          <w:b/>
          <w:bCs/>
          <w:sz w:val="22"/>
          <w:u w:color="0000FF"/>
        </w:rPr>
      </w:pPr>
      <w:r w:rsidRPr="000B322E">
        <w:rPr>
          <w:b/>
          <w:bCs/>
          <w:sz w:val="22"/>
          <w:u w:color="0000FF"/>
        </w:rPr>
        <w:t>Deepa Selvi Rani and K Thangaraj</w:t>
      </w:r>
    </w:p>
    <w:p w14:paraId="6DF3799D" w14:textId="77777777" w:rsidR="00310127" w:rsidRDefault="00310127" w:rsidP="00310127">
      <w:pPr>
        <w:widowControl w:val="0"/>
        <w:autoSpaceDE w:val="0"/>
        <w:autoSpaceDN w:val="0"/>
        <w:adjustRightInd w:val="0"/>
        <w:spacing w:line="276" w:lineRule="auto"/>
        <w:outlineLvl w:val="0"/>
        <w:rPr>
          <w:b/>
          <w:bCs/>
          <w:u w:color="0000FF"/>
        </w:rPr>
      </w:pPr>
    </w:p>
    <w:p w14:paraId="308D671C" w14:textId="77777777" w:rsidR="00146134" w:rsidRDefault="00146134" w:rsidP="00146134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300787">
        <w:t xml:space="preserve">Mutations in </w:t>
      </w:r>
      <w:r>
        <w:rPr>
          <w:rFonts w:eastAsia="Times New Roman"/>
        </w:rPr>
        <w:t xml:space="preserve">cardiac </w:t>
      </w:r>
      <w:r w:rsidRPr="00320390">
        <w:rPr>
          <w:rFonts w:eastAsia="Times New Roman"/>
        </w:rPr>
        <w:t xml:space="preserve">β-myosin heavy chain </w:t>
      </w:r>
      <w:r>
        <w:rPr>
          <w:rFonts w:eastAsia="Times New Roman"/>
        </w:rPr>
        <w:t>(</w:t>
      </w:r>
      <w:r w:rsidRPr="00D66B73">
        <w:rPr>
          <w:i/>
          <w:iCs/>
        </w:rPr>
        <w:t>β-MYH7</w:t>
      </w:r>
      <w:r>
        <w:rPr>
          <w:i/>
          <w:iCs/>
        </w:rPr>
        <w:t>)</w:t>
      </w:r>
      <w:r w:rsidRPr="00D66B73">
        <w:t xml:space="preserve"> </w:t>
      </w:r>
      <w:r>
        <w:t xml:space="preserve">gene are the </w:t>
      </w:r>
      <w:r w:rsidRPr="00D66B73">
        <w:t>major cause</w:t>
      </w:r>
      <w:r>
        <w:t>s</w:t>
      </w:r>
      <w:r w:rsidRPr="00D66B73">
        <w:t xml:space="preserve"> of </w:t>
      </w:r>
      <w:r>
        <w:t xml:space="preserve">inherited </w:t>
      </w:r>
      <w:r w:rsidRPr="00D66B73">
        <w:t>cardiomyopa</w:t>
      </w:r>
      <w:r>
        <w:t xml:space="preserve">thies and sudden cardiac deaths. However, merely limited studies on </w:t>
      </w:r>
      <w:r w:rsidRPr="00D66B73">
        <w:rPr>
          <w:i/>
          <w:iCs/>
        </w:rPr>
        <w:t>β-MYH7</w:t>
      </w:r>
      <w:r w:rsidRPr="00D66B73">
        <w:t xml:space="preserve"> </w:t>
      </w:r>
      <w:r>
        <w:t xml:space="preserve">are available in Indian hypertrophic (HCM) and dilated (DCM) cardiomyopathies. Therefore, we </w:t>
      </w:r>
      <w:r>
        <w:rPr>
          <w:u w:color="0000FF"/>
        </w:rPr>
        <w:t>sequenced the β</w:t>
      </w:r>
      <w:r w:rsidRPr="00D66B73">
        <w:rPr>
          <w:i/>
          <w:iCs/>
        </w:rPr>
        <w:t>-MYH7</w:t>
      </w:r>
      <w:r w:rsidRPr="00D66B73">
        <w:t xml:space="preserve"> </w:t>
      </w:r>
      <w:r>
        <w:rPr>
          <w:u w:color="0000FF"/>
        </w:rPr>
        <w:t xml:space="preserve">in </w:t>
      </w:r>
      <w:r w:rsidRPr="00D66B73">
        <w:t>101</w:t>
      </w:r>
      <w:r>
        <w:t xml:space="preserve"> </w:t>
      </w:r>
      <w:r>
        <w:rPr>
          <w:u w:color="0000FF"/>
        </w:rPr>
        <w:t xml:space="preserve">HCM and </w:t>
      </w:r>
      <w:r w:rsidRPr="00D66B73">
        <w:t>147</w:t>
      </w:r>
      <w:r>
        <w:t xml:space="preserve"> </w:t>
      </w:r>
      <w:r>
        <w:rPr>
          <w:u w:color="0000FF"/>
        </w:rPr>
        <w:t xml:space="preserve">DCM </w:t>
      </w:r>
      <w:r w:rsidRPr="00D66B73">
        <w:t>against 207 controls</w:t>
      </w:r>
      <w:r>
        <w:t xml:space="preserve"> and found </w:t>
      </w:r>
      <w:r w:rsidRPr="00D66B73">
        <w:t xml:space="preserve">45 </w:t>
      </w:r>
      <w:r>
        <w:t>variations (</w:t>
      </w:r>
      <w:r w:rsidRPr="00D66B73">
        <w:t>including 29 novel</w:t>
      </w:r>
      <w:r>
        <w:t>),</w:t>
      </w:r>
      <w:r w:rsidRPr="00C265FC">
        <w:t xml:space="preserve"> </w:t>
      </w:r>
      <w:r w:rsidRPr="00D66B73">
        <w:t xml:space="preserve">of which </w:t>
      </w:r>
      <w:r>
        <w:rPr>
          <w:color w:val="292526"/>
        </w:rPr>
        <w:t>9 were</w:t>
      </w:r>
      <w:r w:rsidRPr="00D66B73">
        <w:rPr>
          <w:color w:val="292526"/>
        </w:rPr>
        <w:t xml:space="preserve"> </w:t>
      </w:r>
      <w:r>
        <w:t>missense mutations</w:t>
      </w:r>
      <w:r>
        <w:rPr>
          <w:color w:val="292526"/>
        </w:rPr>
        <w:t>, besides</w:t>
      </w:r>
      <w:r>
        <w:t xml:space="preserve"> 3 splice-site variations, 5 </w:t>
      </w:r>
      <w:r>
        <w:rPr>
          <w:color w:val="221E1F"/>
        </w:rPr>
        <w:t>allelic-heterogeneities</w:t>
      </w:r>
      <w:r>
        <w:t xml:space="preserve"> and 3 frame-shift mutations</w:t>
      </w:r>
      <w:r>
        <w:rPr>
          <w:color w:val="221E1F"/>
        </w:rPr>
        <w:t xml:space="preserve">. </w:t>
      </w:r>
      <w:r>
        <w:t xml:space="preserve">Furthermore, when we </w:t>
      </w:r>
      <w:r>
        <w:rPr>
          <w:color w:val="221E1F"/>
        </w:rPr>
        <w:t>compared</w:t>
      </w:r>
      <w:r w:rsidRPr="00822BD8">
        <w:rPr>
          <w:color w:val="221E1F"/>
        </w:rPr>
        <w:t xml:space="preserve"> </w:t>
      </w:r>
      <w:r>
        <w:rPr>
          <w:color w:val="221E1F"/>
        </w:rPr>
        <w:t xml:space="preserve">these data with our previous data set, we identified </w:t>
      </w:r>
      <w:r w:rsidRPr="00300787">
        <w:t xml:space="preserve">a rare </w:t>
      </w:r>
      <w:proofErr w:type="spellStart"/>
      <w:r w:rsidRPr="00300787">
        <w:t>digenic</w:t>
      </w:r>
      <w:proofErr w:type="spellEnd"/>
      <w:r>
        <w:t xml:space="preserve"> mutation in </w:t>
      </w:r>
      <w:r w:rsidRPr="00D66B73">
        <w:rPr>
          <w:i/>
          <w:iCs/>
        </w:rPr>
        <w:t>β-MYH7</w:t>
      </w:r>
      <w:r w:rsidRPr="00D66B73">
        <w:t xml:space="preserve"> </w:t>
      </w:r>
      <w:r>
        <w:t xml:space="preserve">and </w:t>
      </w:r>
      <w:r w:rsidRPr="001A6BA9">
        <w:rPr>
          <w:i/>
        </w:rPr>
        <w:t>TNNT2</w:t>
      </w:r>
      <w:r>
        <w:rPr>
          <w:i/>
        </w:rPr>
        <w:t>,</w:t>
      </w:r>
      <w:r>
        <w:t xml:space="preserve"> and a </w:t>
      </w:r>
      <w:r w:rsidRPr="00300787">
        <w:t xml:space="preserve">compound </w:t>
      </w:r>
      <w:r>
        <w:t xml:space="preserve">mutation in </w:t>
      </w:r>
      <w:r w:rsidRPr="00D66B73">
        <w:rPr>
          <w:i/>
          <w:iCs/>
        </w:rPr>
        <w:t>β-MYH7</w:t>
      </w:r>
      <w:r>
        <w:rPr>
          <w:i/>
          <w:iCs/>
        </w:rPr>
        <w:t>,</w:t>
      </w:r>
      <w:r w:rsidRPr="00D66B73">
        <w:t xml:space="preserve"> </w:t>
      </w:r>
      <w:r>
        <w:rPr>
          <w:i/>
        </w:rPr>
        <w:t xml:space="preserve">TMP1 </w:t>
      </w:r>
      <w:r w:rsidRPr="00085868">
        <w:t>and</w:t>
      </w:r>
      <w:r>
        <w:rPr>
          <w:i/>
        </w:rPr>
        <w:t xml:space="preserve"> ACTC.</w:t>
      </w:r>
      <w:r>
        <w:t xml:space="preserve"> </w:t>
      </w:r>
      <w:r>
        <w:rPr>
          <w:color w:val="221E1F"/>
        </w:rPr>
        <w:t xml:space="preserve">In addition, </w:t>
      </w:r>
      <w:r>
        <w:t>we p</w:t>
      </w:r>
      <w:r w:rsidRPr="00300787">
        <w:t xml:space="preserve">erformed </w:t>
      </w:r>
      <w:r>
        <w:t xml:space="preserve">PCA for </w:t>
      </w:r>
      <w:r w:rsidRPr="00300787">
        <w:t>population stratification</w:t>
      </w:r>
      <w:r>
        <w:t xml:space="preserve"> </w:t>
      </w:r>
      <w:r>
        <w:rPr>
          <w:u w:color="0000FF"/>
        </w:rPr>
        <w:t xml:space="preserve">using a panel of 47 </w:t>
      </w:r>
      <w:r>
        <w:t>ancestry-</w:t>
      </w:r>
      <w:r w:rsidRPr="00300787">
        <w:t>informative</w:t>
      </w:r>
      <w:r>
        <w:rPr>
          <w:u w:color="0000FF"/>
        </w:rPr>
        <w:t xml:space="preserve"> markers along with Hap Map data sets to show that </w:t>
      </w:r>
      <w:r w:rsidRPr="00300787">
        <w:t>the cases and controls are from same ethnic background</w:t>
      </w:r>
      <w:r>
        <w:t xml:space="preserve">. </w:t>
      </w:r>
      <w:r>
        <w:rPr>
          <w:u w:color="0000FF"/>
        </w:rPr>
        <w:t xml:space="preserve">Finally, </w:t>
      </w:r>
      <w:r>
        <w:t>h</w:t>
      </w:r>
      <w:r w:rsidRPr="00D66B73">
        <w:t>omology models</w:t>
      </w:r>
      <w:r w:rsidRPr="00D66B73">
        <w:rPr>
          <w:color w:val="292526"/>
        </w:rPr>
        <w:t xml:space="preserve"> were built for </w:t>
      </w:r>
      <w:r w:rsidRPr="00D66B73">
        <w:t>8</w:t>
      </w:r>
      <w:r>
        <w:t xml:space="preserve"> observed missense mutations</w:t>
      </w:r>
      <w:r w:rsidRPr="00D66B73">
        <w:t xml:space="preserve"> </w:t>
      </w:r>
      <w:r>
        <w:t xml:space="preserve">in the </w:t>
      </w:r>
      <w:r w:rsidRPr="00D66B73">
        <w:t>head motor domain</w:t>
      </w:r>
      <w:r>
        <w:t xml:space="preserve"> of </w:t>
      </w:r>
      <w:r w:rsidRPr="00D66B73">
        <w:rPr>
          <w:i/>
          <w:iCs/>
        </w:rPr>
        <w:t>β-MYH7</w:t>
      </w:r>
      <w:r>
        <w:t xml:space="preserve">, </w:t>
      </w:r>
      <w:r w:rsidRPr="00D66B73">
        <w:t xml:space="preserve">and </w:t>
      </w:r>
      <w:r>
        <w:rPr>
          <w:color w:val="292526"/>
        </w:rPr>
        <w:t xml:space="preserve">compared each with </w:t>
      </w:r>
      <w:r w:rsidRPr="00D66B73">
        <w:t>native</w:t>
      </w:r>
      <w:r>
        <w:t xml:space="preserve"> using several structural parameters. Interestingly, we found that each homology model</w:t>
      </w:r>
      <w:r w:rsidRPr="00D66B73">
        <w:t xml:space="preserve"> </w:t>
      </w:r>
      <w:r>
        <w:t>perturbs</w:t>
      </w:r>
      <w:r w:rsidRPr="00300787">
        <w:t xml:space="preserve"> the structure differently</w:t>
      </w:r>
      <w:r>
        <w:t>,</w:t>
      </w:r>
      <w:r w:rsidRPr="00300787">
        <w:t xml:space="preserve"> </w:t>
      </w:r>
      <w:r>
        <w:t xml:space="preserve">and follow a </w:t>
      </w:r>
      <w:r w:rsidRPr="00D66B73">
        <w:t xml:space="preserve">unique </w:t>
      </w:r>
      <w:r>
        <w:t>mechanistic pathway. Therefore, identifying the causative mutations and their mechanisms would certainly help to diminish/</w:t>
      </w:r>
      <w:r w:rsidRPr="00D66B73">
        <w:t>block/inverse/ the disease</w:t>
      </w:r>
      <w:r>
        <w:t xml:space="preserve"> phenotype (personalized </w:t>
      </w:r>
      <w:r w:rsidRPr="00D66B73">
        <w:t>medicine</w:t>
      </w:r>
      <w:r>
        <w:t xml:space="preserve">). </w:t>
      </w:r>
    </w:p>
    <w:p w14:paraId="3BB96661" w14:textId="77777777" w:rsidR="009D526C" w:rsidRDefault="009D526C"/>
    <w:sectPr w:rsidR="009D526C" w:rsidSect="0068260D">
      <w:pgSz w:w="11901" w:h="16817"/>
      <w:pgMar w:top="1440" w:right="986" w:bottom="1440" w:left="1440" w:header="431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62DD1"/>
    <w:multiLevelType w:val="hybridMultilevel"/>
    <w:tmpl w:val="DCCAC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81"/>
  <w:drawingGridVerticalSpacing w:val="18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134"/>
    <w:rsid w:val="000B322E"/>
    <w:rsid w:val="00146134"/>
    <w:rsid w:val="00243CEF"/>
    <w:rsid w:val="00310127"/>
    <w:rsid w:val="0068260D"/>
    <w:rsid w:val="008F7F2A"/>
    <w:rsid w:val="009D526C"/>
    <w:rsid w:val="009F11E0"/>
    <w:rsid w:val="009F42BC"/>
    <w:rsid w:val="00A56E6D"/>
    <w:rsid w:val="00AF0519"/>
    <w:rsid w:val="00BA2CC3"/>
    <w:rsid w:val="00CB2B4E"/>
    <w:rsid w:val="00D02E32"/>
    <w:rsid w:val="00DB1B09"/>
    <w:rsid w:val="00DF5B5F"/>
    <w:rsid w:val="00E9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7D61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134"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F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134"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Macintosh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 Selvi Rani</dc:creator>
  <cp:keywords/>
  <dc:description/>
  <cp:lastModifiedBy>Deepa Selvi Rani</cp:lastModifiedBy>
  <cp:revision>2</cp:revision>
  <dcterms:created xsi:type="dcterms:W3CDTF">2018-12-21T09:44:00Z</dcterms:created>
  <dcterms:modified xsi:type="dcterms:W3CDTF">2018-12-21T09:44:00Z</dcterms:modified>
</cp:coreProperties>
</file>