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EDC" w:rsidRPr="00704481" w:rsidRDefault="008B6589" w:rsidP="00EB2EDC">
      <w:pPr>
        <w:widowControl/>
        <w:jc w:val="left"/>
        <w:rPr>
          <w:rFonts w:ascii="Arial" w:eastAsia="ＭＳ Ｐゴシック" w:hAnsi="Arial" w:cs="Arial"/>
          <w:color w:val="2E74B5" w:themeColor="accent1" w:themeShade="BF"/>
          <w:kern w:val="0"/>
          <w:sz w:val="36"/>
          <w:szCs w:val="36"/>
          <w:lang w:val="en"/>
        </w:rPr>
      </w:pPr>
      <w:r w:rsidRPr="00704481">
        <w:rPr>
          <w:rFonts w:ascii="Arial" w:hAnsi="Arial" w:cs="Arial"/>
          <w:color w:val="2E74B5" w:themeColor="accent1" w:themeShade="BF"/>
          <w:sz w:val="36"/>
          <w:szCs w:val="36"/>
        </w:rPr>
        <w:t xml:space="preserve">Clinical Features and Outcomes of Patients with Takotsubo Syndrome: </w:t>
      </w:r>
      <w:r w:rsidR="00EB2EDC" w:rsidRPr="00704481">
        <w:rPr>
          <w:rFonts w:ascii="Arial" w:hAnsi="Arial" w:cs="Arial"/>
          <w:color w:val="2E74B5" w:themeColor="accent1" w:themeShade="BF"/>
          <w:sz w:val="36"/>
          <w:szCs w:val="36"/>
        </w:rPr>
        <w:t xml:space="preserve">Its prognosis is fairly good but depends on </w:t>
      </w:r>
      <w:r w:rsidR="00EB2EDC" w:rsidRPr="00704481">
        <w:rPr>
          <w:rFonts w:ascii="Arial" w:eastAsia="ＭＳ Ｐゴシック" w:hAnsi="Arial" w:cs="Arial"/>
          <w:color w:val="2E74B5" w:themeColor="accent1" w:themeShade="BF"/>
          <w:kern w:val="0"/>
          <w:sz w:val="36"/>
          <w:szCs w:val="36"/>
          <w:lang w:val="en"/>
        </w:rPr>
        <w:t>underlying disease that became a trigger for the onset of the disease.</w:t>
      </w:r>
    </w:p>
    <w:p w:rsidR="00D92B7D" w:rsidRPr="00704481" w:rsidRDefault="00D92B7D" w:rsidP="00EB2EDC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</w:p>
    <w:p w:rsidR="00D92B7D" w:rsidRPr="00704481" w:rsidRDefault="00D92B7D" w:rsidP="00EB2EDC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Yutaka Kajikawa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　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M.D. Ph.D.</w:t>
      </w:r>
      <w:r w:rsidR="0070448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Fukuyama Medical Center JAPAN</w:t>
      </w:r>
    </w:p>
    <w:p w:rsidR="00D92B7D" w:rsidRPr="005002D1" w:rsidRDefault="00D92B7D" w:rsidP="00EB2EDC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</w:p>
    <w:p w:rsidR="008B6589" w:rsidRPr="00704481" w:rsidRDefault="008B6589" w:rsidP="008B6589">
      <w:pPr>
        <w:ind w:left="220" w:hangingChars="100" w:hanging="220"/>
        <w:rPr>
          <w:rFonts w:ascii="Arial" w:hAnsi="Arial" w:cs="Arial"/>
          <w:sz w:val="22"/>
          <w:lang w:val="en"/>
        </w:rPr>
      </w:pPr>
    </w:p>
    <w:p w:rsidR="00704481" w:rsidRPr="00704481" w:rsidRDefault="0070448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</w:rPr>
      </w:pPr>
      <w:r w:rsidRPr="00704481">
        <w:rPr>
          <w:rFonts w:ascii="Arial" w:hAnsi="Arial" w:cs="Arial"/>
          <w:color w:val="BF5A14"/>
        </w:rPr>
        <w:t>Abstract</w:t>
      </w:r>
      <w:r w:rsidRPr="00704481">
        <w:rPr>
          <w:rFonts w:ascii="Arial" w:eastAsia="ＭＳ Ｐゴシック" w:hAnsi="Arial" w:cs="Arial"/>
          <w:color w:val="222222"/>
          <w:kern w:val="0"/>
          <w:sz w:val="22"/>
        </w:rPr>
        <w:t xml:space="preserve"> </w:t>
      </w:r>
    </w:p>
    <w:p w:rsidR="005B42D1" w:rsidRPr="00704481" w:rsidRDefault="007A3D42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</w:rPr>
        <w:t>Introduction: Takotsubo syndrome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</w:rPr>
        <w:t xml:space="preserve"> is a</w:t>
      </w:r>
      <w:r w:rsidRPr="00704481">
        <w:rPr>
          <w:rFonts w:ascii="Arial" w:eastAsia="ＭＳ Ｐゴシック" w:hAnsi="Arial" w:cs="Arial"/>
          <w:color w:val="222222"/>
          <w:kern w:val="0"/>
          <w:sz w:val="22"/>
        </w:rPr>
        <w:t xml:space="preserve"> disorder characterized by transient left ventricular dysfunction which most commonly affect apex.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</w:rPr>
        <w:t xml:space="preserve"> It is often prece</w:t>
      </w:r>
      <w:r w:rsidRPr="00704481">
        <w:rPr>
          <w:rFonts w:ascii="Arial" w:eastAsia="ＭＳ Ｐゴシック" w:hAnsi="Arial" w:cs="Arial"/>
          <w:color w:val="222222"/>
          <w:kern w:val="0"/>
          <w:sz w:val="22"/>
        </w:rPr>
        <w:t xml:space="preserve">ded by an emotional 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</w:rPr>
        <w:t>or physical stress.</w:t>
      </w:r>
    </w:p>
    <w:p w:rsidR="00154D86" w:rsidRPr="00704481" w:rsidRDefault="008B6589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Objective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: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To examine the clinical features of </w:t>
      </w:r>
      <w:r w:rsidR="007A3D42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takotsubo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cardiomyopathy.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br/>
        <w:t>M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ethods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: </w:t>
      </w:r>
      <w:r w:rsidR="007A3D42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This retrospective study included a total of 41 consecutive patients who were admitted to Fukuyama Medical Center Japan between </w:t>
      </w:r>
      <w:r w:rsidR="00D7375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May</w:t>
      </w:r>
    </w:p>
    <w:p w:rsidR="007A3D42" w:rsidRPr="00704481" w:rsidRDefault="007A3D42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2010 and April 2018.</w:t>
      </w:r>
    </w:p>
    <w:p w:rsidR="007A3D42" w:rsidRPr="00704481" w:rsidRDefault="008B6589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Results Age was 74.6 years ± 12.8 years, sex female 29 people (71%) Emotional stress 9 cases (22%), physical stress 34 cases (83%) 12 patients bearing cancer (29%) as an underlying disease Diabetes mellitus 12 cases (37%), hypertension 29 cases (71%), smoking history 12 cases (32%), previous ischemic heart disease 7 cases (17%)</w:t>
      </w:r>
      <w:r w:rsidR="007A3D42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</w:t>
      </w:r>
    </w:p>
    <w:p w:rsidR="00334AEE" w:rsidRPr="00704481" w:rsidRDefault="007A3D42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We will examine 41 cases of takotsubo cardiomyopathy experienced at our hospital about age, sex, underlying disease, incentive, electrocardiographic findings, echogenic findings and treatment methods.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br/>
        <w:t>19 cases (46%) of cardiac insufficiency at the onset of Killip 2 or more, ECG findings HR 92 ± 24 / min, AF 4 cases (9.8%) QTc 0.43 ± 0.08 msec, QRS 89.2 ± 18.3 msec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,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echocardiographic findings left ventricular Proportion of 44.4 ± 12.0%, estimated systolic pulmonary artery pressure 41.4 ± 15.0 mm Hg, blood biochemical data BNP 2703 ± 121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pg/mL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br/>
        <w:t>Treatment was diuretic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use</w:t>
      </w:r>
      <w:r w:rsidR="003D1470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26 cases 63 (63 %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),</w:t>
      </w:r>
      <w:r w:rsidR="005B42D1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Catecholamine us</w:t>
      </w:r>
    </w:p>
    <w:p w:rsidR="005B42D1" w:rsidRPr="00704481" w:rsidRDefault="005B42D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e cases </w:t>
      </w:r>
      <w:r w:rsidR="003D1470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10</w:t>
      </w:r>
      <w:r w:rsidR="003D1470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　</w:t>
      </w:r>
      <w:r w:rsidR="003D1470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cases 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(</w:t>
      </w:r>
      <w:r w:rsidR="003D1470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25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%), 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hANP 11 cases (27%)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, NIPPV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4 cases 4 cases (9.8%), ventilat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i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o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n with tracheal intubation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8 cases (19%) </w:t>
      </w:r>
    </w:p>
    <w:p w:rsidR="008B6589" w:rsidRDefault="005B42D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lastRenderedPageBreak/>
        <w:t>P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rognos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is: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heart failure death 1 person</w:t>
      </w:r>
      <w:r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>,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t xml:space="preserve"> cancer death 2 persons in the remote period Total 4 cases (9.8%) for infection</w:t>
      </w:r>
      <w:r w:rsidR="008B6589" w:rsidRPr="00704481">
        <w:rPr>
          <w:rFonts w:ascii="Arial" w:eastAsia="ＭＳ Ｐゴシック" w:hAnsi="Arial" w:cs="Arial"/>
          <w:color w:val="222222"/>
          <w:kern w:val="0"/>
          <w:sz w:val="22"/>
          <w:lang w:val="en"/>
        </w:rPr>
        <w:br/>
        <w:t>CONCLUSIONS: Takotsubo cardiomyopathy occurred more frequently in elderly women and the prognosis was relatively good, but there was a tendency to be influenced by the underlying disease that became a trigger for the onset of the disease.</w:t>
      </w:r>
    </w:p>
    <w:p w:rsidR="00704481" w:rsidRDefault="0070448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</w:p>
    <w:p w:rsidR="00704481" w:rsidRDefault="00704481" w:rsidP="008B6589">
      <w:pPr>
        <w:widowControl/>
        <w:jc w:val="lef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9875A9" w:rsidRPr="00C405A0" w:rsidRDefault="00704481" w:rsidP="009875A9">
      <w:pPr>
        <w:widowControl/>
        <w:ind w:left="90" w:hangingChars="50" w:hanging="90"/>
        <w:jc w:val="left"/>
        <w:rPr>
          <w:rFonts w:ascii="Arial" w:hAnsi="Arial" w:cs="Arial"/>
          <w:sz w:val="18"/>
          <w:szCs w:val="18"/>
        </w:rPr>
      </w:pPr>
      <w:r w:rsidRPr="009875A9">
        <w:rPr>
          <w:rFonts w:ascii="Arial"/>
          <w:color w:val="000000" w:themeColor="text1"/>
          <w:sz w:val="18"/>
          <w:szCs w:val="18"/>
        </w:rPr>
        <w:t>1.</w:t>
      </w:r>
      <w:r w:rsidRPr="0070448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eastAsia="ＭＳ Ｐゴシック" w:hAnsi="Arial" w:cs="Arial"/>
          <w:kern w:val="0"/>
          <w:sz w:val="18"/>
          <w:szCs w:val="18"/>
        </w:rPr>
        <w:t xml:space="preserve">Han Saem Jeong, Tae Hyub Lee, Cho Hee Bang, </w:t>
      </w:r>
      <w:r w:rsidRPr="00704481">
        <w:rPr>
          <w:rFonts w:ascii="Arial" w:eastAsia="ＭＳ Ｐゴシック" w:hAnsi="Arial" w:cs="Arial"/>
          <w:i/>
          <w:kern w:val="0"/>
          <w:sz w:val="18"/>
          <w:szCs w:val="18"/>
        </w:rPr>
        <w:t>et al</w:t>
      </w:r>
      <w:r>
        <w:rPr>
          <w:rFonts w:ascii="Arial" w:eastAsia="ＭＳ Ｐゴシック" w:hAnsi="Arial" w:cs="Arial"/>
          <w:i/>
          <w:kern w:val="0"/>
          <w:sz w:val="18"/>
          <w:szCs w:val="18"/>
        </w:rPr>
        <w:t xml:space="preserve">. </w:t>
      </w:r>
      <w:r>
        <w:t>(2018)</w:t>
      </w:r>
      <w:r>
        <w:rPr>
          <w:rFonts w:ascii="Arial" w:eastAsia="ＭＳ Ｐゴシック" w:hAnsi="Arial" w:cs="Arial" w:hint="eastAsia"/>
          <w:kern w:val="0"/>
          <w:sz w:val="18"/>
          <w:szCs w:val="18"/>
        </w:rPr>
        <w:t xml:space="preserve"> </w:t>
      </w:r>
      <w:r w:rsidRPr="00704481">
        <w:rPr>
          <w:rFonts w:ascii="Arial" w:eastAsia="ＭＳ Ｐゴシック" w:hAnsi="Arial" w:cs="Arial"/>
          <w:kern w:val="0"/>
          <w:sz w:val="18"/>
          <w:szCs w:val="18"/>
        </w:rPr>
        <w:t>Risk factors and outcomes of sepsis-induced</w:t>
      </w:r>
      <w:r>
        <w:rPr>
          <w:rFonts w:ascii="Arial" w:eastAsia="ＭＳ Ｐゴシック" w:hAnsi="Arial" w:cs="Arial" w:hint="eastAsia"/>
          <w:kern w:val="0"/>
          <w:sz w:val="18"/>
          <w:szCs w:val="18"/>
        </w:rPr>
        <w:t xml:space="preserve"> </w:t>
      </w:r>
      <w:r w:rsidRPr="00704481">
        <w:rPr>
          <w:rFonts w:ascii="Arial" w:eastAsia="ＭＳ Ｐゴシック" w:hAnsi="Arial" w:cs="Arial"/>
          <w:kern w:val="0"/>
          <w:sz w:val="18"/>
          <w:szCs w:val="18"/>
        </w:rPr>
        <w:t>myocardial dysfunction and stress-induced</w:t>
      </w:r>
      <w:r>
        <w:rPr>
          <w:rFonts w:ascii="Arial" w:eastAsia="ＭＳ Ｐゴシック" w:hAnsi="Arial" w:cs="Arial" w:hint="eastAsia"/>
          <w:kern w:val="0"/>
          <w:sz w:val="18"/>
          <w:szCs w:val="18"/>
        </w:rPr>
        <w:t xml:space="preserve"> </w:t>
      </w:r>
      <w:r w:rsidRPr="00704481">
        <w:rPr>
          <w:rFonts w:ascii="Arial" w:eastAsia="ＭＳ Ｐゴシック" w:hAnsi="Arial" w:cs="Arial"/>
          <w:kern w:val="0"/>
          <w:sz w:val="18"/>
          <w:szCs w:val="18"/>
        </w:rPr>
        <w:t>cardiomyopathy in sepsis or septic shock</w:t>
      </w:r>
      <w:r>
        <w:rPr>
          <w:rFonts w:ascii="Arial" w:eastAsia="ＭＳ Ｐゴシック" w:hAnsi="Arial" w:cs="Arial" w:hint="eastAsia"/>
          <w:kern w:val="0"/>
          <w:sz w:val="18"/>
          <w:szCs w:val="18"/>
        </w:rPr>
        <w:t xml:space="preserve"> </w:t>
      </w:r>
      <w:r w:rsidRPr="00704481">
        <w:rPr>
          <w:rFonts w:ascii="Arial" w:eastAsia="ＭＳ Ｐゴシック" w:hAnsi="Arial" w:cs="Arial"/>
          <w:kern w:val="0"/>
          <w:sz w:val="18"/>
          <w:szCs w:val="18"/>
        </w:rPr>
        <w:t>A comparative retrospective study</w:t>
      </w:r>
      <w:r>
        <w:rPr>
          <w:rFonts w:ascii="Arial" w:eastAsia="ＭＳ Ｐゴシック" w:hAnsi="Arial" w:cs="Arial"/>
          <w:kern w:val="0"/>
          <w:sz w:val="18"/>
          <w:szCs w:val="18"/>
        </w:rPr>
        <w:t>.</w:t>
      </w:r>
      <w:r w:rsidRPr="00704481">
        <w:t xml:space="preserve"> </w:t>
      </w:r>
      <w:r w:rsidRPr="00C405A0">
        <w:rPr>
          <w:rFonts w:ascii="Arial" w:hAnsi="Arial" w:cs="Arial"/>
          <w:sz w:val="18"/>
          <w:szCs w:val="18"/>
        </w:rPr>
        <w:t>Medicine</w:t>
      </w:r>
      <w:r w:rsidR="00C405A0" w:rsidRPr="00C405A0">
        <w:rPr>
          <w:rFonts w:ascii="Arial" w:hAnsi="Arial" w:cs="Arial"/>
          <w:sz w:val="18"/>
          <w:szCs w:val="18"/>
        </w:rPr>
        <w:t xml:space="preserve">. </w:t>
      </w:r>
      <w:r w:rsidRPr="00C405A0">
        <w:rPr>
          <w:rFonts w:ascii="Arial" w:hAnsi="Arial" w:cs="Arial"/>
          <w:sz w:val="18"/>
          <w:szCs w:val="18"/>
        </w:rPr>
        <w:t>97</w:t>
      </w:r>
      <w:r w:rsidRPr="00C405A0">
        <w:rPr>
          <w:rFonts w:ascii="Arial" w:hAnsi="Arial" w:cs="Arial"/>
          <w:sz w:val="18"/>
          <w:szCs w:val="18"/>
        </w:rPr>
        <w:t>(</w:t>
      </w:r>
      <w:r w:rsidRPr="00C405A0">
        <w:rPr>
          <w:rFonts w:ascii="Arial" w:hAnsi="Arial" w:cs="Arial"/>
          <w:sz w:val="18"/>
          <w:szCs w:val="18"/>
        </w:rPr>
        <w:t>13</w:t>
      </w:r>
      <w:r w:rsidRPr="00C405A0">
        <w:rPr>
          <w:rFonts w:ascii="Arial" w:hAnsi="Arial" w:cs="Arial"/>
          <w:sz w:val="18"/>
          <w:szCs w:val="18"/>
        </w:rPr>
        <w:t>)</w:t>
      </w:r>
      <w:r w:rsidRPr="00C405A0">
        <w:rPr>
          <w:rFonts w:ascii="Arial" w:hAnsi="Arial" w:cs="Arial"/>
          <w:sz w:val="18"/>
          <w:szCs w:val="18"/>
        </w:rPr>
        <w:t>:</w:t>
      </w:r>
      <w:r w:rsidRPr="00C405A0">
        <w:rPr>
          <w:rFonts w:ascii="Arial" w:hAnsi="Arial" w:cs="Arial"/>
          <w:sz w:val="18"/>
          <w:szCs w:val="18"/>
        </w:rPr>
        <w:t>1-8</w:t>
      </w:r>
    </w:p>
    <w:p w:rsidR="009875A9" w:rsidRDefault="00704481" w:rsidP="009875A9">
      <w:pPr>
        <w:widowControl/>
        <w:ind w:left="90" w:hangingChars="50" w:hanging="90"/>
        <w:jc w:val="left"/>
        <w:rPr>
          <w:rFonts w:ascii="Arial" w:hAnsi="Arial" w:cs="Arial"/>
          <w:sz w:val="18"/>
          <w:szCs w:val="18"/>
        </w:rPr>
      </w:pPr>
      <w:r w:rsidRPr="009875A9">
        <w:rPr>
          <w:rFonts w:ascii="Arial" w:eastAsia="ＭＳ Ｐゴシック" w:hAnsi="Arial" w:cs="Arial"/>
          <w:kern w:val="0"/>
          <w:sz w:val="18"/>
          <w:szCs w:val="18"/>
        </w:rPr>
        <w:t>2.</w:t>
      </w:r>
      <w:r w:rsidRPr="009875A9">
        <w:rPr>
          <w:rFonts w:ascii="Arial" w:hAnsi="Arial" w:cs="Arial"/>
          <w:sz w:val="18"/>
          <w:szCs w:val="18"/>
        </w:rPr>
        <w:t xml:space="preserve"> </w:t>
      </w:r>
      <w:r w:rsidR="009875A9" w:rsidRPr="009875A9">
        <w:rPr>
          <w:rFonts w:ascii="Arial" w:hAnsi="Arial" w:cs="Arial"/>
          <w:sz w:val="18"/>
          <w:szCs w:val="18"/>
        </w:rPr>
        <w:t>H</w:t>
      </w:r>
      <w:r w:rsidR="009875A9" w:rsidRPr="009875A9">
        <w:rPr>
          <w:rFonts w:ascii="Arial" w:hAnsi="Arial" w:cs="Arial"/>
          <w:sz w:val="18"/>
          <w:szCs w:val="18"/>
        </w:rPr>
        <w:t>eckle MR, McCoy CW, Akinseye OA</w:t>
      </w:r>
      <w:r w:rsidR="009875A9">
        <w:rPr>
          <w:rFonts w:ascii="Arial" w:hAnsi="Arial" w:cs="Arial"/>
          <w:sz w:val="18"/>
          <w:szCs w:val="18"/>
        </w:rPr>
        <w:t>,</w:t>
      </w:r>
      <w:r w:rsidR="009875A9" w:rsidRPr="009875A9">
        <w:rPr>
          <w:rFonts w:ascii="Arial" w:hAnsi="Arial" w:cs="Arial"/>
          <w:sz w:val="18"/>
          <w:szCs w:val="18"/>
        </w:rPr>
        <w:t xml:space="preserve"> </w:t>
      </w:r>
      <w:r w:rsidR="009875A9" w:rsidRPr="009875A9">
        <w:rPr>
          <w:rFonts w:ascii="Arial" w:hAnsi="Arial" w:cs="Arial"/>
          <w:i/>
          <w:sz w:val="18"/>
          <w:szCs w:val="18"/>
        </w:rPr>
        <w:t>et al</w:t>
      </w:r>
      <w:r w:rsidR="009875A9" w:rsidRPr="009875A9">
        <w:rPr>
          <w:rFonts w:ascii="Arial" w:hAnsi="Arial" w:cs="Arial"/>
          <w:sz w:val="18"/>
          <w:szCs w:val="18"/>
        </w:rPr>
        <w:t>. (</w:t>
      </w:r>
      <w:r w:rsidR="009875A9" w:rsidRPr="009875A9">
        <w:rPr>
          <w:rFonts w:ascii="Arial" w:hAnsi="Arial" w:cs="Arial"/>
          <w:sz w:val="18"/>
          <w:szCs w:val="18"/>
        </w:rPr>
        <w:t>201</w:t>
      </w:r>
      <w:r w:rsidR="009875A9" w:rsidRPr="009875A9">
        <w:rPr>
          <w:rFonts w:ascii="Arial" w:hAnsi="Arial" w:cs="Arial"/>
          <w:sz w:val="18"/>
          <w:szCs w:val="18"/>
        </w:rPr>
        <w:t xml:space="preserve">8) </w:t>
      </w:r>
      <w:hyperlink r:id="rId6" w:history="1">
        <w:r w:rsidRPr="009875A9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 xml:space="preserve">Stress-induced thrombus: prevalence of thromboembolic events and the role of anticoagulation in </w:t>
        </w:r>
        <w:r w:rsidRPr="009875A9">
          <w:rPr>
            <w:rStyle w:val="a7"/>
            <w:rFonts w:ascii="Arial" w:hAnsi="Arial" w:cs="Arial"/>
            <w:bCs/>
            <w:color w:val="000000" w:themeColor="text1"/>
            <w:sz w:val="18"/>
            <w:szCs w:val="18"/>
            <w:u w:val="none"/>
          </w:rPr>
          <w:t>Takotsubo cardiomyopathy</w:t>
        </w:r>
        <w:r w:rsidRPr="009875A9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>.</w:t>
        </w:r>
      </w:hyperlink>
      <w:r w:rsidR="009875A9" w:rsidRPr="009875A9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9875A9">
        <w:rPr>
          <w:rStyle w:val="jrnl"/>
          <w:rFonts w:ascii="Arial" w:hAnsi="Arial" w:cs="Arial"/>
          <w:sz w:val="18"/>
          <w:szCs w:val="18"/>
        </w:rPr>
        <w:t xml:space="preserve">Ann Transl </w:t>
      </w:r>
      <w:r w:rsidRPr="009875A9">
        <w:rPr>
          <w:rStyle w:val="jrnl"/>
          <w:rFonts w:ascii="Arial" w:hAnsi="Arial" w:cs="Arial"/>
          <w:sz w:val="18"/>
          <w:szCs w:val="18"/>
        </w:rPr>
        <w:t>Med</w:t>
      </w:r>
      <w:r w:rsidR="009875A9">
        <w:rPr>
          <w:rFonts w:ascii="Arial" w:hAnsi="Arial" w:cs="Arial"/>
          <w:sz w:val="18"/>
          <w:szCs w:val="18"/>
        </w:rPr>
        <w:t xml:space="preserve">. </w:t>
      </w:r>
      <w:r w:rsidRPr="009875A9">
        <w:rPr>
          <w:rFonts w:ascii="Arial" w:hAnsi="Arial" w:cs="Arial"/>
          <w:sz w:val="18"/>
          <w:szCs w:val="18"/>
        </w:rPr>
        <w:t>6(1):</w:t>
      </w:r>
      <w:r w:rsidR="009875A9" w:rsidRPr="009875A9">
        <w:rPr>
          <w:rFonts w:ascii="Arial" w:hAnsi="Arial" w:cs="Arial"/>
          <w:sz w:val="18"/>
          <w:szCs w:val="18"/>
        </w:rPr>
        <w:t>1-</w:t>
      </w:r>
      <w:r w:rsidRPr="009875A9">
        <w:rPr>
          <w:rFonts w:ascii="Arial" w:hAnsi="Arial" w:cs="Arial"/>
          <w:sz w:val="18"/>
          <w:szCs w:val="18"/>
        </w:rPr>
        <w:t>4</w:t>
      </w:r>
    </w:p>
    <w:p w:rsidR="009875A9" w:rsidRDefault="009875A9" w:rsidP="009875A9">
      <w:pPr>
        <w:widowControl/>
        <w:ind w:left="90" w:hangingChars="50" w:hanging="90"/>
        <w:jc w:val="left"/>
        <w:rPr>
          <w:rFonts w:ascii="Arial" w:eastAsia="ＭＳ Ｐゴシック" w:hAnsi="Arial" w:cs="Arial"/>
          <w:kern w:val="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3.</w:t>
      </w:r>
      <w:r w:rsidRPr="009875A9">
        <w:t xml:space="preserve"> 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Gopal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akrishnan P, Zaidi R, Sardar MR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（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2017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）</w:t>
      </w:r>
      <w:hyperlink r:id="rId7" w:history="1">
        <w:r w:rsidRPr="009875A9">
          <w:rPr>
            <w:rFonts w:ascii="Arial" w:hAnsi="Arial" w:cs="Arial"/>
            <w:bCs/>
            <w:color w:val="000000" w:themeColor="text1"/>
            <w:sz w:val="18"/>
            <w:szCs w:val="18"/>
          </w:rPr>
          <w:t>Takotsubo cardiomyopathy</w:t>
        </w:r>
        <w:r w:rsidRPr="009875A9">
          <w:rPr>
            <w:rFonts w:ascii="Arial" w:hAnsi="Arial" w:cs="Arial"/>
            <w:color w:val="000000" w:themeColor="text1"/>
            <w:sz w:val="18"/>
            <w:szCs w:val="18"/>
          </w:rPr>
          <w:t>: Pathophysiology and role of cardiac biomarkers in differential diagnosis.</w:t>
        </w:r>
      </w:hyperlink>
      <w:r w:rsidRPr="009875A9">
        <w:rPr>
          <w:rFonts w:ascii="Arial" w:eastAsia="ＭＳ Ｐゴシック" w:hAnsi="Arial" w:cs="Arial"/>
          <w:kern w:val="0"/>
          <w:sz w:val="18"/>
          <w:szCs w:val="18"/>
        </w:rPr>
        <w:t>World J Cardiol. 26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 xml:space="preserve">　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(9)</w:t>
      </w:r>
      <w:r w:rsidR="00341F9B">
        <w:rPr>
          <w:rFonts w:ascii="Arial" w:eastAsia="ＭＳ Ｐゴシック" w:hAnsi="Arial" w:cs="Arial"/>
          <w:kern w:val="0"/>
          <w:sz w:val="18"/>
          <w:szCs w:val="18"/>
        </w:rPr>
        <w:t xml:space="preserve"> 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 xml:space="preserve">:723-730. </w:t>
      </w:r>
    </w:p>
    <w:p w:rsidR="009875A9" w:rsidRPr="009875A9" w:rsidRDefault="009875A9" w:rsidP="009875A9">
      <w:pPr>
        <w:widowControl/>
        <w:jc w:val="left"/>
        <w:rPr>
          <w:rFonts w:ascii="Arial" w:eastAsia="ＭＳ Ｐゴシック" w:hAnsi="Arial" w:cs="Arial"/>
          <w:kern w:val="0"/>
          <w:sz w:val="18"/>
          <w:szCs w:val="18"/>
        </w:rPr>
      </w:pPr>
      <w:r>
        <w:rPr>
          <w:rFonts w:ascii="Arial" w:eastAsia="ＭＳ Ｐゴシック" w:hAnsi="Arial" w:cs="Arial" w:hint="eastAsia"/>
          <w:kern w:val="0"/>
          <w:sz w:val="18"/>
          <w:szCs w:val="18"/>
        </w:rPr>
        <w:t>4</w:t>
      </w:r>
      <w:r w:rsidRPr="009875A9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.</w:t>
      </w:r>
      <w:r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 xml:space="preserve"> 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Parodi G, Scudiero F, C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itro R</w:t>
      </w:r>
      <w:r w:rsidR="00341F9B">
        <w:rPr>
          <w:rFonts w:ascii="Arial" w:eastAsia="ＭＳ Ｐゴシック" w:hAnsi="Arial" w:cs="Arial"/>
          <w:kern w:val="0"/>
          <w:sz w:val="18"/>
          <w:szCs w:val="18"/>
        </w:rPr>
        <w:t>,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 xml:space="preserve">　</w:t>
      </w:r>
      <w:r w:rsidRPr="009875A9">
        <w:rPr>
          <w:rFonts w:ascii="Arial" w:eastAsia="ＭＳ Ｐゴシック" w:hAnsi="Arial" w:cs="Arial"/>
          <w:i/>
          <w:kern w:val="0"/>
          <w:sz w:val="18"/>
          <w:szCs w:val="18"/>
        </w:rPr>
        <w:t xml:space="preserve">et al. 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(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2017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)</w:t>
      </w:r>
      <w:r w:rsidRPr="009875A9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  <w:hyperlink r:id="rId8" w:history="1"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>Risk Stratification Using the CHA</w:t>
        </w:r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  <w:vertAlign w:val="subscript"/>
          </w:rPr>
          <w:t>2</w:t>
        </w:r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>DS</w:t>
        </w:r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  <w:vertAlign w:val="subscript"/>
          </w:rPr>
          <w:t>2</w:t>
        </w:r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 xml:space="preserve">-VASc Score in </w:t>
        </w:r>
        <w:r w:rsidRPr="009875A9">
          <w:rPr>
            <w:rFonts w:ascii="Arial" w:eastAsia="ＭＳ Ｐゴシック" w:hAnsi="Arial" w:cs="Arial"/>
            <w:bCs/>
            <w:color w:val="000000" w:themeColor="text1"/>
            <w:kern w:val="0"/>
            <w:sz w:val="18"/>
            <w:szCs w:val="18"/>
          </w:rPr>
          <w:t>Takotsubo</w:t>
        </w:r>
        <w:r w:rsidR="00341F9B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 xml:space="preserve"> Syndrome: Data f</w:t>
        </w:r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 xml:space="preserve">rom the </w:t>
        </w:r>
        <w:r w:rsidRPr="009875A9">
          <w:rPr>
            <w:rFonts w:ascii="Arial" w:eastAsia="ＭＳ Ｐゴシック" w:hAnsi="Arial" w:cs="Arial"/>
            <w:bCs/>
            <w:color w:val="000000" w:themeColor="text1"/>
            <w:kern w:val="0"/>
            <w:sz w:val="18"/>
            <w:szCs w:val="18"/>
          </w:rPr>
          <w:t>Takotsubo</w:t>
        </w:r>
        <w:r w:rsidRPr="009875A9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 xml:space="preserve"> Italian Network.</w:t>
        </w:r>
      </w:hyperlink>
      <w:r w:rsidRPr="009875A9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 xml:space="preserve">J Am Heart Assoc. </w:t>
      </w:r>
      <w:r w:rsidR="00C405A0">
        <w:rPr>
          <w:rFonts w:ascii="Arial" w:eastAsia="ＭＳ Ｐゴシック" w:hAnsi="Arial" w:cs="Arial"/>
          <w:kern w:val="0"/>
          <w:sz w:val="18"/>
          <w:szCs w:val="18"/>
        </w:rPr>
        <w:t>14</w:t>
      </w:r>
      <w:r w:rsidR="00C405A0" w:rsidRPr="009875A9">
        <w:rPr>
          <w:rFonts w:ascii="Arial" w:eastAsia="ＭＳ Ｐゴシック" w:hAnsi="Arial" w:cs="Arial"/>
          <w:kern w:val="0"/>
          <w:sz w:val="18"/>
          <w:szCs w:val="18"/>
        </w:rPr>
        <w:t xml:space="preserve"> </w:t>
      </w:r>
      <w:r w:rsidRPr="009875A9">
        <w:rPr>
          <w:rFonts w:ascii="Arial" w:eastAsia="ＭＳ Ｐゴシック" w:hAnsi="Arial" w:cs="Arial"/>
          <w:kern w:val="0"/>
          <w:sz w:val="18"/>
          <w:szCs w:val="18"/>
        </w:rPr>
        <w:t>(9)</w:t>
      </w:r>
      <w:r w:rsidR="00C405A0">
        <w:rPr>
          <w:rFonts w:ascii="Arial" w:eastAsia="ＭＳ Ｐゴシック" w:hAnsi="Arial" w:cs="Arial"/>
          <w:kern w:val="0"/>
          <w:sz w:val="18"/>
          <w:szCs w:val="18"/>
        </w:rPr>
        <w:t>:1-6</w:t>
      </w:r>
    </w:p>
    <w:p w:rsidR="00C405A0" w:rsidRDefault="00C405A0" w:rsidP="00C405A0">
      <w:pPr>
        <w:widowControl/>
        <w:ind w:left="180" w:hangingChars="100" w:hanging="180"/>
        <w:jc w:val="left"/>
        <w:rPr>
          <w:rFonts w:ascii="Arial" w:eastAsia="ＭＳ Ｐゴシック" w:hAnsi="Arial" w:cs="Arial"/>
          <w:kern w:val="0"/>
          <w:sz w:val="18"/>
          <w:szCs w:val="18"/>
        </w:rPr>
      </w:pPr>
      <w:r w:rsidRPr="00C405A0">
        <w:rPr>
          <w:rFonts w:ascii="Arial" w:eastAsia="ＭＳ Ｐゴシック" w:hAnsi="Arial" w:cs="Arial"/>
          <w:kern w:val="0"/>
          <w:sz w:val="18"/>
          <w:szCs w:val="18"/>
        </w:rPr>
        <w:t>5.</w:t>
      </w:r>
      <w:r w:rsidRPr="00C405A0">
        <w:t xml:space="preserve"> 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Santoro F, Brunetti ND, Tarantino N</w:t>
      </w:r>
      <w:r w:rsidR="00341F9B">
        <w:rPr>
          <w:rFonts w:ascii="Arial" w:eastAsia="ＭＳ Ｐゴシック" w:hAnsi="Arial" w:cs="Arial"/>
          <w:kern w:val="0"/>
          <w:sz w:val="18"/>
          <w:szCs w:val="18"/>
        </w:rPr>
        <w:t>,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 xml:space="preserve"> </w:t>
      </w:r>
      <w:r w:rsidRPr="00C405A0">
        <w:rPr>
          <w:rFonts w:ascii="Arial" w:eastAsia="ＭＳ Ｐゴシック" w:hAnsi="Arial" w:cs="Arial"/>
          <w:i/>
          <w:kern w:val="0"/>
          <w:sz w:val="18"/>
          <w:szCs w:val="18"/>
        </w:rPr>
        <w:t>et al.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 xml:space="preserve"> 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(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2017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)</w:t>
      </w:r>
      <w:r>
        <w:rPr>
          <w:rFonts w:ascii="Arial" w:eastAsia="ＭＳ Ｐゴシック" w:hAnsi="Arial" w:cs="Arial"/>
          <w:color w:val="000000" w:themeColor="text1"/>
          <w:kern w:val="0"/>
          <w:sz w:val="18"/>
          <w:szCs w:val="18"/>
        </w:rPr>
        <w:t xml:space="preserve"> </w:t>
      </w:r>
      <w:hyperlink r:id="rId9" w:history="1">
        <w:r w:rsidRPr="00C405A0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 xml:space="preserve">Dynamic changes of QTc interval and prognostic significance in </w:t>
        </w:r>
        <w:r w:rsidRPr="00C405A0">
          <w:rPr>
            <w:rFonts w:ascii="Arial" w:eastAsia="ＭＳ Ｐゴシック" w:hAnsi="Arial" w:cs="Arial"/>
            <w:bCs/>
            <w:color w:val="000000" w:themeColor="text1"/>
            <w:kern w:val="0"/>
            <w:sz w:val="18"/>
            <w:szCs w:val="18"/>
          </w:rPr>
          <w:t>takotsubo</w:t>
        </w:r>
        <w:r w:rsidRPr="00C405A0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 xml:space="preserve"> (stress) </w:t>
        </w:r>
        <w:r w:rsidRPr="00C405A0">
          <w:rPr>
            <w:rFonts w:ascii="Arial" w:eastAsia="ＭＳ Ｐゴシック" w:hAnsi="Arial" w:cs="Arial"/>
            <w:bCs/>
            <w:color w:val="000000" w:themeColor="text1"/>
            <w:kern w:val="0"/>
            <w:sz w:val="18"/>
            <w:szCs w:val="18"/>
          </w:rPr>
          <w:t>cardiomyopathy</w:t>
        </w:r>
        <w:r w:rsidRPr="00C405A0">
          <w:rPr>
            <w:rFonts w:ascii="Arial" w:eastAsia="ＭＳ Ｐゴシック" w:hAnsi="Arial" w:cs="Arial"/>
            <w:color w:val="000000" w:themeColor="text1"/>
            <w:kern w:val="0"/>
            <w:sz w:val="18"/>
            <w:szCs w:val="18"/>
          </w:rPr>
          <w:t>.</w:t>
        </w:r>
      </w:hyperlink>
      <w:r w:rsidRPr="00C405A0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 xml:space="preserve"> 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Clin Cardiol.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 xml:space="preserve"> 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40(11):</w:t>
      </w:r>
      <w:r w:rsidR="00341F9B">
        <w:rPr>
          <w:rFonts w:ascii="Arial" w:eastAsia="ＭＳ Ｐゴシック" w:hAnsi="Arial" w:cs="Arial"/>
          <w:kern w:val="0"/>
          <w:sz w:val="18"/>
          <w:szCs w:val="18"/>
        </w:rPr>
        <w:t xml:space="preserve"> </w:t>
      </w:r>
      <w:r w:rsidRPr="00C405A0">
        <w:rPr>
          <w:rFonts w:ascii="Arial" w:eastAsia="ＭＳ Ｐゴシック" w:hAnsi="Arial" w:cs="Arial"/>
          <w:kern w:val="0"/>
          <w:sz w:val="18"/>
          <w:szCs w:val="18"/>
        </w:rPr>
        <w:t>1116-1122</w:t>
      </w:r>
    </w:p>
    <w:p w:rsidR="00C405A0" w:rsidRPr="00C405A0" w:rsidRDefault="00C405A0" w:rsidP="00C405A0">
      <w:pPr>
        <w:pStyle w:val="title"/>
        <w:ind w:left="270" w:hangingChars="150" w:hanging="270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6.</w:t>
      </w:r>
      <w:r w:rsidRPr="00C405A0">
        <w:t xml:space="preserve"> </w:t>
      </w:r>
      <w:r w:rsidRPr="00C405A0">
        <w:rPr>
          <w:rFonts w:ascii="Arial" w:hAnsi="Arial" w:cs="Arial"/>
          <w:sz w:val="18"/>
          <w:szCs w:val="18"/>
        </w:rPr>
        <w:t>Weidner KJ, El-Battrawy I, Behnes M</w:t>
      </w:r>
      <w:r w:rsidR="00341F9B">
        <w:rPr>
          <w:rFonts w:ascii="Arial" w:hAnsi="Arial" w:cs="Arial"/>
          <w:sz w:val="18"/>
          <w:szCs w:val="18"/>
        </w:rPr>
        <w:t>,</w:t>
      </w:r>
      <w:r w:rsidRPr="00C405A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C405A0">
        <w:rPr>
          <w:rFonts w:ascii="Arial" w:hAnsi="Arial" w:cs="Arial"/>
          <w:i/>
          <w:sz w:val="18"/>
          <w:szCs w:val="18"/>
        </w:rPr>
        <w:t>et al.</w:t>
      </w:r>
      <w:r w:rsidRPr="00C405A0">
        <w:t xml:space="preserve"> </w:t>
      </w:r>
      <w:r w:rsidRPr="00C405A0">
        <w:rPr>
          <w:rFonts w:ascii="Arial" w:hAnsi="Arial" w:cs="Arial"/>
          <w:sz w:val="18"/>
          <w:szCs w:val="18"/>
        </w:rPr>
        <w:t>(</w:t>
      </w:r>
      <w:r w:rsidRPr="00C405A0">
        <w:rPr>
          <w:rFonts w:ascii="Arial" w:hAnsi="Arial" w:cs="Arial"/>
          <w:sz w:val="18"/>
          <w:szCs w:val="18"/>
        </w:rPr>
        <w:t>2017</w:t>
      </w:r>
      <w:r w:rsidRPr="00C405A0">
        <w:rPr>
          <w:rFonts w:ascii="Arial" w:hAnsi="Arial" w:cs="Arial"/>
          <w:sz w:val="18"/>
          <w:szCs w:val="18"/>
        </w:rPr>
        <w:t>)</w:t>
      </w:r>
      <w:r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Pr="00C405A0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 xml:space="preserve">Sex differences of in-hospital outcome and long-term mortality in patients with </w:t>
        </w:r>
        <w:r w:rsidRPr="00C405A0">
          <w:rPr>
            <w:rStyle w:val="a7"/>
            <w:rFonts w:ascii="Arial" w:hAnsi="Arial" w:cs="Arial"/>
            <w:bCs/>
            <w:color w:val="000000" w:themeColor="text1"/>
            <w:sz w:val="18"/>
            <w:szCs w:val="18"/>
            <w:u w:val="none"/>
          </w:rPr>
          <w:t>Takotsubo cardiomyopathy</w:t>
        </w:r>
        <w:r w:rsidRPr="00C405A0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>.</w:t>
        </w:r>
      </w:hyperlink>
      <w:r w:rsidRPr="00C405A0">
        <w:rPr>
          <w:rStyle w:val="jrnl"/>
        </w:rPr>
        <w:t xml:space="preserve"> </w:t>
      </w:r>
      <w:r w:rsidRPr="00C405A0">
        <w:rPr>
          <w:rStyle w:val="jrnl"/>
          <w:rFonts w:ascii="Arial" w:hAnsi="Arial" w:cs="Arial"/>
          <w:sz w:val="18"/>
          <w:szCs w:val="18"/>
        </w:rPr>
        <w:t>Ther Clin Risk Manag</w:t>
      </w:r>
      <w:r w:rsidRPr="00C405A0">
        <w:rPr>
          <w:rFonts w:ascii="Arial" w:hAnsi="Arial" w:cs="Arial"/>
          <w:sz w:val="18"/>
          <w:szCs w:val="18"/>
        </w:rPr>
        <w:t>.</w:t>
      </w:r>
      <w:r w:rsidRPr="00C405A0">
        <w:rPr>
          <w:rFonts w:ascii="Arial" w:hAnsi="Arial" w:cs="Arial"/>
          <w:sz w:val="18"/>
          <w:szCs w:val="18"/>
        </w:rPr>
        <w:t xml:space="preserve"> </w:t>
      </w:r>
      <w:r w:rsidRPr="00C405A0">
        <w:rPr>
          <w:rFonts w:ascii="Arial" w:hAnsi="Arial" w:cs="Arial"/>
          <w:sz w:val="18"/>
          <w:szCs w:val="18"/>
        </w:rPr>
        <w:t>13:</w:t>
      </w:r>
      <w:r>
        <w:rPr>
          <w:rFonts w:ascii="Arial" w:hAnsi="Arial" w:cs="Arial"/>
          <w:sz w:val="18"/>
          <w:szCs w:val="18"/>
        </w:rPr>
        <w:t xml:space="preserve"> </w:t>
      </w:r>
      <w:r w:rsidRPr="00C405A0">
        <w:rPr>
          <w:rFonts w:ascii="Arial" w:hAnsi="Arial" w:cs="Arial"/>
          <w:sz w:val="18"/>
          <w:szCs w:val="18"/>
        </w:rPr>
        <w:t>863-869.</w:t>
      </w:r>
    </w:p>
    <w:p w:rsidR="00C405A0" w:rsidRDefault="00C405A0" w:rsidP="00341F9B">
      <w:pPr>
        <w:pStyle w:val="title"/>
        <w:rPr>
          <w:rFonts w:ascii="Arial" w:hAnsi="Arial" w:cs="Arial"/>
          <w:sz w:val="18"/>
          <w:szCs w:val="18"/>
        </w:rPr>
      </w:pPr>
      <w:r w:rsidRPr="00341F9B">
        <w:rPr>
          <w:rFonts w:ascii="Arial" w:hAnsi="Arial" w:cs="Arial"/>
          <w:sz w:val="18"/>
          <w:szCs w:val="18"/>
        </w:rPr>
        <w:t xml:space="preserve">7. </w:t>
      </w:r>
      <w:r w:rsidR="00341F9B" w:rsidRPr="00341F9B">
        <w:rPr>
          <w:rFonts w:ascii="Arial" w:hAnsi="Arial" w:cs="Arial"/>
          <w:sz w:val="18"/>
          <w:szCs w:val="18"/>
        </w:rPr>
        <w:t>Glaveckaitė S, Šerpytis P, Pečiūraitė D</w:t>
      </w:r>
      <w:r w:rsidR="00341F9B">
        <w:rPr>
          <w:rFonts w:ascii="Arial" w:hAnsi="Arial" w:cs="Arial"/>
          <w:sz w:val="18"/>
          <w:szCs w:val="18"/>
        </w:rPr>
        <w:t>,</w:t>
      </w:r>
      <w:r w:rsidR="00341F9B" w:rsidRPr="00C405A0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341F9B" w:rsidRPr="00341F9B">
        <w:rPr>
          <w:rFonts w:ascii="Arial" w:hAnsi="Arial" w:cs="Arial"/>
          <w:i/>
          <w:color w:val="000000" w:themeColor="text1"/>
          <w:sz w:val="18"/>
          <w:szCs w:val="18"/>
        </w:rPr>
        <w:t>et al.</w:t>
      </w:r>
      <w:r w:rsidR="00341F9B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341F9B" w:rsidRPr="00341F9B">
        <w:rPr>
          <w:rFonts w:ascii="Arial" w:hAnsi="Arial" w:cs="Arial"/>
          <w:color w:val="000000" w:themeColor="text1"/>
          <w:sz w:val="18"/>
          <w:szCs w:val="18"/>
        </w:rPr>
        <w:t>(</w:t>
      </w:r>
      <w:r w:rsidR="00341F9B" w:rsidRPr="00341F9B">
        <w:rPr>
          <w:rFonts w:ascii="Arial" w:hAnsi="Arial" w:cs="Arial"/>
          <w:sz w:val="18"/>
          <w:szCs w:val="18"/>
        </w:rPr>
        <w:t>2016</w:t>
      </w:r>
      <w:r w:rsidR="00341F9B" w:rsidRPr="00341F9B">
        <w:rPr>
          <w:rFonts w:ascii="Arial" w:hAnsi="Arial" w:cs="Arial"/>
          <w:sz w:val="18"/>
          <w:szCs w:val="18"/>
        </w:rPr>
        <w:t>)</w:t>
      </w:r>
      <w:r w:rsidR="00341F9B">
        <w:t xml:space="preserve"> </w:t>
      </w:r>
      <w:hyperlink r:id="rId11" w:history="1">
        <w:r w:rsidRPr="00C405A0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 xml:space="preserve">Clinical features and three-year outcomes of </w:t>
        </w:r>
        <w:r w:rsidRPr="00C405A0">
          <w:rPr>
            <w:rStyle w:val="a7"/>
            <w:rFonts w:ascii="Arial" w:hAnsi="Arial" w:cs="Arial"/>
            <w:bCs/>
            <w:color w:val="000000" w:themeColor="text1"/>
            <w:sz w:val="18"/>
            <w:szCs w:val="18"/>
            <w:u w:val="none"/>
          </w:rPr>
          <w:t>Takotsubo</w:t>
        </w:r>
        <w:r w:rsidRPr="00C405A0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 xml:space="preserve"> (stress) </w:t>
        </w:r>
        <w:r w:rsidRPr="00C405A0">
          <w:rPr>
            <w:rStyle w:val="a7"/>
            <w:rFonts w:ascii="Arial" w:hAnsi="Arial" w:cs="Arial"/>
            <w:bCs/>
            <w:color w:val="000000" w:themeColor="text1"/>
            <w:sz w:val="18"/>
            <w:szCs w:val="18"/>
            <w:u w:val="none"/>
          </w:rPr>
          <w:t>cardiomyopathy</w:t>
        </w:r>
        <w:r w:rsidRPr="00C405A0">
          <w:rPr>
            <w:rStyle w:val="a7"/>
            <w:rFonts w:ascii="Arial" w:hAnsi="Arial" w:cs="Arial"/>
            <w:color w:val="000000" w:themeColor="text1"/>
            <w:sz w:val="18"/>
            <w:szCs w:val="18"/>
            <w:u w:val="none"/>
          </w:rPr>
          <w:t>: Observational data from one center.</w:t>
        </w:r>
      </w:hyperlink>
      <w:r w:rsidR="00341F9B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341F9B">
        <w:rPr>
          <w:rStyle w:val="jrnl"/>
          <w:rFonts w:ascii="Arial" w:hAnsi="Arial" w:cs="Arial"/>
          <w:sz w:val="18"/>
          <w:szCs w:val="18"/>
        </w:rPr>
        <w:t>Hellenic J Cardiol</w:t>
      </w:r>
      <w:r w:rsidR="00341F9B" w:rsidRPr="00341F9B">
        <w:rPr>
          <w:rFonts w:ascii="Arial" w:hAnsi="Arial" w:cs="Arial"/>
          <w:sz w:val="18"/>
          <w:szCs w:val="18"/>
        </w:rPr>
        <w:t xml:space="preserve">. </w:t>
      </w:r>
      <w:r w:rsidRPr="00341F9B">
        <w:rPr>
          <w:rFonts w:ascii="Arial" w:hAnsi="Arial" w:cs="Arial"/>
          <w:sz w:val="18"/>
          <w:szCs w:val="18"/>
        </w:rPr>
        <w:t>57(6):</w:t>
      </w:r>
      <w:r w:rsidR="00341F9B">
        <w:rPr>
          <w:rFonts w:ascii="Arial" w:hAnsi="Arial" w:cs="Arial"/>
          <w:sz w:val="18"/>
          <w:szCs w:val="18"/>
        </w:rPr>
        <w:t xml:space="preserve"> </w:t>
      </w:r>
      <w:r w:rsidRPr="00341F9B">
        <w:rPr>
          <w:rFonts w:ascii="Arial" w:hAnsi="Arial" w:cs="Arial"/>
          <w:sz w:val="18"/>
          <w:szCs w:val="18"/>
        </w:rPr>
        <w:t xml:space="preserve">428-434. </w:t>
      </w:r>
    </w:p>
    <w:p w:rsidR="00341F9B" w:rsidRDefault="00341F9B" w:rsidP="00341F9B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 (150 word limit)</w:t>
      </w:r>
    </w:p>
    <w:p w:rsidR="005474AC" w:rsidRDefault="005474AC" w:rsidP="00341F9B">
      <w:pPr>
        <w:spacing w:before="92"/>
        <w:ind w:right="4234"/>
        <w:rPr>
          <w:rFonts w:ascii="Arial"/>
        </w:rPr>
      </w:pPr>
      <w:bookmarkStart w:id="0" w:name="_GoBack"/>
      <w:r>
        <w:rPr>
          <w:noProof/>
        </w:rPr>
        <w:drawing>
          <wp:inline distT="0" distB="0" distL="0" distR="0" wp14:anchorId="023D3B43" wp14:editId="03DC18E3">
            <wp:extent cx="626705" cy="588723"/>
            <wp:effectExtent l="0" t="0" r="2540" b="190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9649" cy="600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743C7" w:rsidRDefault="00341F9B" w:rsidP="00341F9B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/>
          <w:sz w:val="14"/>
        </w:rPr>
        <w:t>Yutaka Kajikawa</w:t>
      </w:r>
      <w:r>
        <w:rPr>
          <w:rFonts w:ascii="Arial" w:hint="eastAsia"/>
          <w:sz w:val="14"/>
        </w:rPr>
        <w:t xml:space="preserve"> </w:t>
      </w:r>
      <w:r>
        <w:rPr>
          <w:rFonts w:ascii="Arial"/>
          <w:sz w:val="14"/>
        </w:rPr>
        <w:t xml:space="preserve">has </w:t>
      </w:r>
      <w:r>
        <w:rPr>
          <w:rFonts w:ascii="Arial"/>
          <w:sz w:val="14"/>
        </w:rPr>
        <w:t>his</w:t>
      </w:r>
      <w:r>
        <w:rPr>
          <w:rFonts w:ascii="Arial"/>
          <w:sz w:val="14"/>
        </w:rPr>
        <w:t xml:space="preserve"> expertise in improving the health and wellbeing</w:t>
      </w:r>
      <w:r w:rsidR="00FA7408">
        <w:rPr>
          <w:rFonts w:ascii="Arial"/>
          <w:sz w:val="14"/>
        </w:rPr>
        <w:t xml:space="preserve"> of the patients who have cardiovascular risk factors</w:t>
      </w:r>
      <w:r>
        <w:rPr>
          <w:rFonts w:ascii="Arial"/>
          <w:sz w:val="14"/>
        </w:rPr>
        <w:t xml:space="preserve">. </w:t>
      </w:r>
      <w:r w:rsidR="00FA7408">
        <w:rPr>
          <w:rFonts w:ascii="Arial"/>
          <w:sz w:val="14"/>
        </w:rPr>
        <w:t>His lipid and EPA/AA research and sodium</w:t>
      </w:r>
      <w:r w:rsidR="003743C7">
        <w:rPr>
          <w:rFonts w:ascii="Arial"/>
          <w:sz w:val="14"/>
        </w:rPr>
        <w:t xml:space="preserve"> intake assessment research contributes to the reduction of cardiovascular risk patients.   </w:t>
      </w:r>
      <w:r w:rsidR="00FA7408">
        <w:rPr>
          <w:rFonts w:ascii="Arial"/>
          <w:sz w:val="14"/>
        </w:rPr>
        <w:t xml:space="preserve"> </w:t>
      </w:r>
      <w:r w:rsidR="003743C7">
        <w:rPr>
          <w:rFonts w:ascii="Arial"/>
          <w:sz w:val="14"/>
        </w:rPr>
        <w:t>He has also researched</w:t>
      </w:r>
      <w:r w:rsidR="003743C7">
        <w:rPr>
          <w:rFonts w:ascii="Arial"/>
          <w:sz w:val="14"/>
        </w:rPr>
        <w:t xml:space="preserve"> prevention and therapy</w:t>
      </w:r>
      <w:r w:rsidR="003743C7">
        <w:rPr>
          <w:rFonts w:ascii="Arial"/>
          <w:sz w:val="14"/>
        </w:rPr>
        <w:t xml:space="preserve"> heart </w:t>
      </w:r>
      <w:r w:rsidR="003743C7">
        <w:rPr>
          <w:rFonts w:ascii="Arial"/>
          <w:sz w:val="14"/>
        </w:rPr>
        <w:t>failure</w:t>
      </w:r>
      <w:r w:rsidR="003743C7">
        <w:rPr>
          <w:rFonts w:ascii="Arial"/>
          <w:sz w:val="14"/>
        </w:rPr>
        <w:t>. This Takotsubo cardiomyopathy article is one of the series of his research.</w:t>
      </w:r>
    </w:p>
    <w:p w:rsidR="00341F9B" w:rsidRDefault="00341F9B" w:rsidP="00341F9B">
      <w:pPr>
        <w:spacing w:before="41" w:line="154" w:lineRule="exact"/>
        <w:ind w:left="213" w:right="231"/>
        <w:rPr>
          <w:rFonts w:ascii="Arial"/>
          <w:sz w:val="14"/>
        </w:rPr>
      </w:pPr>
    </w:p>
    <w:p w:rsidR="00341F9B" w:rsidRDefault="00341F9B" w:rsidP="00341F9B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/>
          <w:sz w:val="14"/>
        </w:rPr>
        <w:t xml:space="preserve">E-mail </w:t>
      </w:r>
      <w:hyperlink r:id="rId13" w:history="1">
        <w:r w:rsidRPr="00070811">
          <w:rPr>
            <w:rStyle w:val="a7"/>
            <w:rFonts w:ascii="Arial"/>
            <w:sz w:val="14"/>
          </w:rPr>
          <w:t>yk_kajikawa@yahoo.co.jp</w:t>
        </w:r>
      </w:hyperlink>
    </w:p>
    <w:p w:rsidR="00341F9B" w:rsidRDefault="00341F9B" w:rsidP="00341F9B">
      <w:pPr>
        <w:spacing w:before="41" w:line="154" w:lineRule="exact"/>
        <w:ind w:left="213" w:right="231"/>
        <w:rPr>
          <w:rFonts w:ascii="Arial"/>
          <w:sz w:val="14"/>
        </w:rPr>
      </w:pPr>
      <w:r>
        <w:rPr>
          <w:rFonts w:ascii="Arial" w:hint="eastAsia"/>
          <w:sz w:val="14"/>
        </w:rPr>
        <w:t>P</w:t>
      </w:r>
      <w:r>
        <w:rPr>
          <w:rFonts w:ascii="Arial"/>
          <w:sz w:val="14"/>
        </w:rPr>
        <w:t>hone:</w:t>
      </w:r>
      <w:r w:rsidR="003743C7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>+81-849-22-0001</w:t>
      </w:r>
    </w:p>
    <w:p w:rsidR="00341F9B" w:rsidRPr="00341F9B" w:rsidRDefault="00341F9B" w:rsidP="00341F9B">
      <w:pPr>
        <w:pStyle w:val="title"/>
        <w:rPr>
          <w:rFonts w:ascii="Arial" w:hAnsi="Arial" w:cs="Arial"/>
          <w:color w:val="000000" w:themeColor="text1"/>
          <w:sz w:val="18"/>
          <w:szCs w:val="18"/>
        </w:rPr>
      </w:pPr>
    </w:p>
    <w:p w:rsidR="00C405A0" w:rsidRDefault="00C405A0" w:rsidP="00C405A0">
      <w:pPr>
        <w:pStyle w:val="desc"/>
      </w:pPr>
    </w:p>
    <w:p w:rsidR="00C405A0" w:rsidRPr="00C405A0" w:rsidRDefault="00C405A0" w:rsidP="00C405A0">
      <w:pPr>
        <w:widowControl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</w:p>
    <w:p w:rsidR="00C405A0" w:rsidRPr="00C405A0" w:rsidRDefault="00C405A0" w:rsidP="00C405A0">
      <w:pPr>
        <w:widowControl/>
        <w:spacing w:before="100" w:beforeAutospacing="1" w:after="100" w:afterAutospacing="1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405A0"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  <w:t>.</w:t>
      </w:r>
    </w:p>
    <w:p w:rsidR="009875A9" w:rsidRPr="009875A9" w:rsidRDefault="009875A9" w:rsidP="009875A9">
      <w:pPr>
        <w:widowControl/>
        <w:ind w:left="90" w:hangingChars="50" w:hanging="90"/>
        <w:jc w:val="left"/>
        <w:rPr>
          <w:rFonts w:ascii="Arial" w:hAnsi="Arial" w:cs="Arial"/>
          <w:sz w:val="18"/>
          <w:szCs w:val="18"/>
        </w:rPr>
      </w:pPr>
    </w:p>
    <w:p w:rsidR="009875A9" w:rsidRPr="009875A9" w:rsidRDefault="009875A9" w:rsidP="009875A9">
      <w:pPr>
        <w:widowControl/>
        <w:ind w:left="90" w:hangingChars="50" w:hanging="90"/>
        <w:jc w:val="left"/>
        <w:rPr>
          <w:rFonts w:ascii="Arial" w:eastAsia="ＭＳ Ｐゴシック" w:hAnsi="Arial" w:cs="Arial"/>
          <w:kern w:val="0"/>
          <w:sz w:val="18"/>
          <w:szCs w:val="18"/>
        </w:rPr>
      </w:pPr>
    </w:p>
    <w:p w:rsidR="00704481" w:rsidRPr="00704481" w:rsidRDefault="00704481" w:rsidP="00704481">
      <w:pPr>
        <w:widowControl/>
        <w:jc w:val="left"/>
        <w:rPr>
          <w:rFonts w:ascii="Arial" w:eastAsia="ＭＳ Ｐゴシック" w:hAnsi="Arial" w:cs="Arial"/>
          <w:kern w:val="0"/>
          <w:sz w:val="12"/>
          <w:szCs w:val="12"/>
        </w:rPr>
      </w:pPr>
    </w:p>
    <w:p w:rsidR="00704481" w:rsidRPr="00704481" w:rsidRDefault="0070448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</w:p>
    <w:p w:rsidR="00704481" w:rsidRPr="00704481" w:rsidRDefault="0070448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</w:p>
    <w:p w:rsidR="00704481" w:rsidRPr="00704481" w:rsidRDefault="00704481" w:rsidP="008B6589">
      <w:pPr>
        <w:widowControl/>
        <w:jc w:val="left"/>
        <w:rPr>
          <w:rFonts w:ascii="Arial" w:eastAsia="ＭＳ Ｐゴシック" w:hAnsi="Arial" w:cs="Arial"/>
          <w:color w:val="222222"/>
          <w:kern w:val="0"/>
          <w:sz w:val="22"/>
          <w:lang w:val="en"/>
        </w:rPr>
      </w:pPr>
    </w:p>
    <w:p w:rsidR="008B6589" w:rsidRPr="00704481" w:rsidRDefault="008B6589">
      <w:pPr>
        <w:rPr>
          <w:rFonts w:ascii="Arial" w:hAnsi="Arial" w:cs="Arial"/>
          <w:sz w:val="22"/>
        </w:rPr>
      </w:pPr>
    </w:p>
    <w:sectPr w:rsidR="008B6589" w:rsidRPr="007044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089A" w:rsidRDefault="000F089A" w:rsidP="00334AEE">
      <w:r>
        <w:separator/>
      </w:r>
    </w:p>
  </w:endnote>
  <w:endnote w:type="continuationSeparator" w:id="0">
    <w:p w:rsidR="000F089A" w:rsidRDefault="000F089A" w:rsidP="00334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089A" w:rsidRDefault="000F089A" w:rsidP="00334AEE">
      <w:r>
        <w:separator/>
      </w:r>
    </w:p>
  </w:footnote>
  <w:footnote w:type="continuationSeparator" w:id="0">
    <w:p w:rsidR="000F089A" w:rsidRDefault="000F089A" w:rsidP="00334A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104"/>
    <w:rsid w:val="000E3B44"/>
    <w:rsid w:val="000F089A"/>
    <w:rsid w:val="00154D86"/>
    <w:rsid w:val="00191523"/>
    <w:rsid w:val="00252D4E"/>
    <w:rsid w:val="002D4E55"/>
    <w:rsid w:val="00303115"/>
    <w:rsid w:val="00334AEE"/>
    <w:rsid w:val="00341F9B"/>
    <w:rsid w:val="003743C7"/>
    <w:rsid w:val="003D1470"/>
    <w:rsid w:val="00481104"/>
    <w:rsid w:val="005002D1"/>
    <w:rsid w:val="005139C6"/>
    <w:rsid w:val="005474AC"/>
    <w:rsid w:val="005B42D1"/>
    <w:rsid w:val="005F5D86"/>
    <w:rsid w:val="006A2171"/>
    <w:rsid w:val="00704481"/>
    <w:rsid w:val="007A3D42"/>
    <w:rsid w:val="008B6589"/>
    <w:rsid w:val="009875A9"/>
    <w:rsid w:val="00A41B98"/>
    <w:rsid w:val="00C405A0"/>
    <w:rsid w:val="00D73751"/>
    <w:rsid w:val="00D92B7D"/>
    <w:rsid w:val="00EB2EDC"/>
    <w:rsid w:val="00F650EF"/>
    <w:rsid w:val="00FA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198C430-8DE9-4671-95F1-A06F55AB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AE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34AEE"/>
  </w:style>
  <w:style w:type="paragraph" w:styleId="a5">
    <w:name w:val="footer"/>
    <w:basedOn w:val="a"/>
    <w:link w:val="a6"/>
    <w:uiPriority w:val="99"/>
    <w:unhideWhenUsed/>
    <w:rsid w:val="00334AE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34AEE"/>
  </w:style>
  <w:style w:type="paragraph" w:customStyle="1" w:styleId="title">
    <w:name w:val="title"/>
    <w:basedOn w:val="a"/>
    <w:rsid w:val="0070448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7">
    <w:name w:val="Hyperlink"/>
    <w:basedOn w:val="a0"/>
    <w:uiPriority w:val="99"/>
    <w:unhideWhenUsed/>
    <w:rsid w:val="00704481"/>
    <w:rPr>
      <w:color w:val="0000FF"/>
      <w:u w:val="single"/>
    </w:rPr>
  </w:style>
  <w:style w:type="paragraph" w:customStyle="1" w:styleId="desc">
    <w:name w:val="desc"/>
    <w:basedOn w:val="a"/>
    <w:rsid w:val="0070448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tails">
    <w:name w:val="details"/>
    <w:basedOn w:val="a"/>
    <w:rsid w:val="0070448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jrnl">
    <w:name w:val="jrnl"/>
    <w:basedOn w:val="a0"/>
    <w:rsid w:val="00704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3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13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1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66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61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7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0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8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2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9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3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6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28912212" TargetMode="External"/><Relationship Id="rId13" Type="http://schemas.openxmlformats.org/officeDocument/2006/relationships/hyperlink" Target="mailto:yk_kajikawa@yahoo.co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cbi.nlm.nih.gov/pubmed/29081904" TargetMode="External"/><Relationship Id="rId12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29404350" TargetMode="External"/><Relationship Id="rId11" Type="http://schemas.openxmlformats.org/officeDocument/2006/relationships/hyperlink" Target="https://www.ncbi.nlm.nih.gov/pubmed/28087310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ubmed/2874413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ncbi.nlm.nih.gov/pubmed/2889222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梶川 隆</cp:lastModifiedBy>
  <cp:revision>8</cp:revision>
  <dcterms:created xsi:type="dcterms:W3CDTF">2018-06-07T12:06:00Z</dcterms:created>
  <dcterms:modified xsi:type="dcterms:W3CDTF">2018-06-16T15:05:00Z</dcterms:modified>
</cp:coreProperties>
</file>