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73DD" w:rsidRPr="00D12E59" w:rsidRDefault="00550BAF" w:rsidP="00326C51">
      <w:pPr>
        <w:pStyle w:val="Heading1"/>
        <w:rPr>
          <w:sz w:val="40"/>
        </w:rPr>
      </w:pPr>
      <w:r>
        <w:rPr>
          <w:sz w:val="40"/>
        </w:rPr>
        <w:t>Direct Oral Anticoagulants (D</w:t>
      </w:r>
      <w:r w:rsidR="00326C51" w:rsidRPr="00D12E59">
        <w:rPr>
          <w:sz w:val="40"/>
        </w:rPr>
        <w:t>OACs</w:t>
      </w:r>
      <w:r>
        <w:rPr>
          <w:sz w:val="40"/>
        </w:rPr>
        <w:t>)</w:t>
      </w:r>
      <w:r w:rsidR="00326C51" w:rsidRPr="00D12E59">
        <w:rPr>
          <w:sz w:val="40"/>
        </w:rPr>
        <w:t xml:space="preserve">: Safe Dosing and Concordance </w:t>
      </w:r>
    </w:p>
    <w:p w:rsidR="00D12E59" w:rsidRDefault="00D12E59" w:rsidP="00326C51">
      <w:r>
        <w:t xml:space="preserve">El-Medany A, </w:t>
      </w:r>
      <w:proofErr w:type="spellStart"/>
      <w:r>
        <w:t>Bura</w:t>
      </w:r>
      <w:proofErr w:type="spellEnd"/>
      <w:r>
        <w:t xml:space="preserve"> P, Davies G, Welford P, </w:t>
      </w:r>
      <w:proofErr w:type="spellStart"/>
      <w:r>
        <w:t>Asby</w:t>
      </w:r>
      <w:proofErr w:type="spellEnd"/>
      <w:r>
        <w:t xml:space="preserve"> C</w:t>
      </w:r>
      <w:r w:rsidR="00550BAF">
        <w:t>; Southmead Hospital, Bristol, UK</w:t>
      </w:r>
    </w:p>
    <w:p w:rsidR="00326C51" w:rsidRDefault="00D12E59" w:rsidP="00326C51">
      <w:r>
        <w:t xml:space="preserve"> </w:t>
      </w:r>
    </w:p>
    <w:p w:rsidR="00326C51" w:rsidRDefault="00326C51" w:rsidP="00326C51">
      <w:pPr>
        <w:pStyle w:val="Heading2"/>
      </w:pPr>
      <w:r>
        <w:t>Abstract</w:t>
      </w:r>
    </w:p>
    <w:p w:rsidR="00326C51" w:rsidRDefault="00326C51" w:rsidP="00326C51"/>
    <w:p w:rsidR="00326C51" w:rsidRDefault="00550BAF" w:rsidP="00326C51">
      <w:pPr>
        <w:rPr>
          <w:b/>
        </w:rPr>
      </w:pPr>
      <w:r>
        <w:rPr>
          <w:b/>
        </w:rPr>
        <w:t>Statement of the Problem</w:t>
      </w:r>
    </w:p>
    <w:p w:rsidR="00BD6D2C" w:rsidRPr="00326C51" w:rsidRDefault="00550BAF" w:rsidP="00550BAF">
      <w:r>
        <w:t xml:space="preserve">DOACS </w:t>
      </w:r>
      <w:r w:rsidR="00326C51" w:rsidRPr="00326C51">
        <w:t>are responsible for a significant progression in stroke prevention in non-valvular AF</w:t>
      </w:r>
      <w:r w:rsidR="00D12E59">
        <w:t xml:space="preserve"> (NVAF)</w:t>
      </w:r>
      <w:r w:rsidR="00326C51" w:rsidRPr="00326C51">
        <w:t>. They incorporate many of the features of an ideal anti-coagulant, yet are not without their limitations. Balancing the pre-treatment risk of stroke with the potential for significant bleeding requires careful dosing and patient concordance.</w:t>
      </w:r>
      <w:r>
        <w:t xml:space="preserve"> The purpose of this quality improvement project is to optimise DOAC dosing, i</w:t>
      </w:r>
      <w:r w:rsidR="00CA5EEF" w:rsidRPr="00326C51">
        <w:t xml:space="preserve">mprove concordance with </w:t>
      </w:r>
      <w:r>
        <w:t>DOAC</w:t>
      </w:r>
      <w:r w:rsidR="00CA5EEF" w:rsidRPr="00326C51">
        <w:t>s</w:t>
      </w:r>
      <w:r>
        <w:t>, and i</w:t>
      </w:r>
      <w:r w:rsidR="00CA5EEF" w:rsidRPr="00326C51">
        <w:t xml:space="preserve">mprove patient understanding of </w:t>
      </w:r>
      <w:r>
        <w:t>DOAC</w:t>
      </w:r>
      <w:r w:rsidR="00CA5EEF" w:rsidRPr="00326C51">
        <w:t xml:space="preserve"> risks/benefits</w:t>
      </w:r>
    </w:p>
    <w:p w:rsidR="00326C51" w:rsidRDefault="00326C51" w:rsidP="00326C51">
      <w:pPr>
        <w:rPr>
          <w:b/>
        </w:rPr>
      </w:pPr>
    </w:p>
    <w:p w:rsidR="00326C51" w:rsidRDefault="00326C51" w:rsidP="00326C51">
      <w:pPr>
        <w:rPr>
          <w:b/>
        </w:rPr>
      </w:pPr>
      <w:r>
        <w:rPr>
          <w:b/>
        </w:rPr>
        <w:t xml:space="preserve">Methods </w:t>
      </w:r>
      <w:r w:rsidR="00550BAF">
        <w:rPr>
          <w:b/>
        </w:rPr>
        <w:t>and Theoretical Orientation</w:t>
      </w:r>
    </w:p>
    <w:p w:rsidR="00326C51" w:rsidRDefault="00326C51" w:rsidP="00326C51">
      <w:r>
        <w:t xml:space="preserve">Data was collected from 40 patients from Stroke, Cardiology, and Care of the Elderly (COTE) wards in Southmead Hospital, between the dates of December and March (2017-2018). 23 patients were included in the first cycle of data, and 17 different patients were reviewed post-intervention. </w:t>
      </w:r>
      <w:r w:rsidR="007B7AAB">
        <w:t>D</w:t>
      </w:r>
      <w:r>
        <w:t xml:space="preserve">rug charts were reviewed with regards to the documentation of weight; and type and dosage of </w:t>
      </w:r>
      <w:r w:rsidR="00550BAF">
        <w:t>DOAC</w:t>
      </w:r>
      <w:r>
        <w:t xml:space="preserve">; taking into consideration patients’ age, creatinine clearance, and previous weights. </w:t>
      </w:r>
      <w:r w:rsidR="007B7AAB">
        <w:t>A</w:t>
      </w:r>
      <w:r>
        <w:t xml:space="preserve"> patient questionnaire</w:t>
      </w:r>
      <w:r w:rsidR="007B7AAB">
        <w:t xml:space="preserve"> assessed</w:t>
      </w:r>
      <w:r>
        <w:t xml:space="preserve"> </w:t>
      </w:r>
      <w:r w:rsidR="00550BAF">
        <w:t>DOAC</w:t>
      </w:r>
      <w:r>
        <w:t xml:space="preserve"> concordance</w:t>
      </w:r>
      <w:r w:rsidR="00D12E59">
        <w:t>, and patient</w:t>
      </w:r>
      <w:r w:rsidR="007B7AAB">
        <w:t>s’</w:t>
      </w:r>
      <w:r w:rsidR="00D12E59">
        <w:t xml:space="preserve"> understanding of their </w:t>
      </w:r>
      <w:r w:rsidR="00550BAF">
        <w:t>DOAC</w:t>
      </w:r>
      <w:r>
        <w:t xml:space="preserve">. Interventions included teaching sessions delivered </w:t>
      </w:r>
      <w:r w:rsidR="007B7AAB">
        <w:t>to doctors, c</w:t>
      </w:r>
      <w:r>
        <w:t>ollaboration with ward pharmacists and anticoagul</w:t>
      </w:r>
      <w:r w:rsidR="007B7AAB">
        <w:t>ation nurse specialist, and discussion with ward sisters.</w:t>
      </w:r>
    </w:p>
    <w:p w:rsidR="007B7AAB" w:rsidRDefault="007B7AAB" w:rsidP="00326C51"/>
    <w:p w:rsidR="00326C51" w:rsidRDefault="00550BAF" w:rsidP="00326C51">
      <w:pPr>
        <w:rPr>
          <w:b/>
        </w:rPr>
      </w:pPr>
      <w:r>
        <w:rPr>
          <w:b/>
        </w:rPr>
        <w:t>Findings</w:t>
      </w:r>
    </w:p>
    <w:p w:rsidR="00326C51" w:rsidRDefault="007B7AAB" w:rsidP="00326C51">
      <w:r w:rsidRPr="007B7AAB"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620395</wp:posOffset>
            </wp:positionV>
            <wp:extent cx="3164205" cy="2512695"/>
            <wp:effectExtent l="0" t="0" r="17145" b="1905"/>
            <wp:wrapThrough wrapText="bothSides">
              <wp:wrapPolygon edited="0">
                <wp:start x="260" y="0"/>
                <wp:lineTo x="0" y="328"/>
                <wp:lineTo x="0" y="21125"/>
                <wp:lineTo x="130" y="21453"/>
                <wp:lineTo x="21457" y="21453"/>
                <wp:lineTo x="21587" y="21125"/>
                <wp:lineTo x="21587" y="328"/>
                <wp:lineTo x="21327" y="0"/>
                <wp:lineTo x="260" y="0"/>
              </wp:wrapPolygon>
            </wp:wrapThrough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anchor>
        </w:drawing>
      </w:r>
      <w:r w:rsidR="00326C51">
        <w:t xml:space="preserve">There was an improvement in weight recording </w:t>
      </w:r>
      <w:r w:rsidR="00D12E59">
        <w:t xml:space="preserve">on drug charts (26% to 52% increase). Correct dosing improved from 60.9% to 70.6%. There was no improvement in patient concordance, and mixed results with regards to patient understanding of the risks and benefits of taking </w:t>
      </w:r>
      <w:r w:rsidR="00550BAF">
        <w:t>DOAC</w:t>
      </w:r>
      <w:r w:rsidR="00D12E59">
        <w:t>s.</w:t>
      </w:r>
    </w:p>
    <w:p w:rsidR="00D12E59" w:rsidRDefault="00D12E59" w:rsidP="00326C51"/>
    <w:p w:rsidR="00D12E59" w:rsidRDefault="00D12E59" w:rsidP="00326C51">
      <w:pPr>
        <w:rPr>
          <w:b/>
        </w:rPr>
      </w:pPr>
      <w:r>
        <w:rPr>
          <w:b/>
        </w:rPr>
        <w:t xml:space="preserve">Conclusion </w:t>
      </w:r>
      <w:r w:rsidR="00550BAF">
        <w:rPr>
          <w:b/>
        </w:rPr>
        <w:t xml:space="preserve">and Significance </w:t>
      </w:r>
    </w:p>
    <w:p w:rsidR="00D12E59" w:rsidRPr="00D12E59" w:rsidRDefault="00D12E59" w:rsidP="00326C51">
      <w:r w:rsidRPr="00D12E59">
        <w:t xml:space="preserve">Further work is still required to optimise the administration and clinical benefit of </w:t>
      </w:r>
      <w:r w:rsidR="00550BAF">
        <w:t>DOAC</w:t>
      </w:r>
      <w:r w:rsidRPr="00D12E59">
        <w:t xml:space="preserve">s. Educating ward teams on the importance of weight recording, and the implications for </w:t>
      </w:r>
      <w:r w:rsidR="00550BAF">
        <w:t>DOAC</w:t>
      </w:r>
      <w:r w:rsidRPr="00D12E59">
        <w:t xml:space="preserve"> dosing has led to an improvement in </w:t>
      </w:r>
      <w:r w:rsidR="00550BAF">
        <w:t>DOAC</w:t>
      </w:r>
      <w:r w:rsidRPr="00D12E59">
        <w:t xml:space="preserve"> dosing. Patient education on the importance of concordance, and the risks/benefits of </w:t>
      </w:r>
      <w:r w:rsidR="00550BAF">
        <w:t>DOAC</w:t>
      </w:r>
      <w:r w:rsidRPr="00D12E59">
        <w:t xml:space="preserve"> use, r</w:t>
      </w:r>
      <w:r>
        <w:t>equires a multi-faceted approach, which will necessitate the involvement of primary care and community pharmacists.</w:t>
      </w:r>
    </w:p>
    <w:p w:rsidR="007B7AAB" w:rsidRDefault="007B7AAB"/>
    <w:p w:rsidR="007B7AAB" w:rsidRDefault="007B7AAB"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3575050</wp:posOffset>
            </wp:positionH>
            <wp:positionV relativeFrom="paragraph">
              <wp:posOffset>63500</wp:posOffset>
            </wp:positionV>
            <wp:extent cx="2798445" cy="359410"/>
            <wp:effectExtent l="0" t="0" r="0" b="0"/>
            <wp:wrapThrough wrapText="bothSides">
              <wp:wrapPolygon edited="0">
                <wp:start x="735" y="1145"/>
                <wp:lineTo x="735" y="8014"/>
                <wp:lineTo x="4705" y="16028"/>
                <wp:lineTo x="6617" y="18318"/>
                <wp:lineTo x="14851" y="18318"/>
                <wp:lineTo x="16909" y="16028"/>
                <wp:lineTo x="20880" y="8014"/>
                <wp:lineTo x="20732" y="1145"/>
                <wp:lineTo x="735" y="1145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8445" cy="359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B7AAB" w:rsidRDefault="007B7AAB"/>
    <w:p w:rsidR="007B7AAB" w:rsidRDefault="007B7AAB"/>
    <w:p w:rsidR="007B7AAB" w:rsidRDefault="007B7AAB" w:rsidP="007B7AAB">
      <w:pPr>
        <w:pStyle w:val="Heading2"/>
      </w:pPr>
      <w:r>
        <w:lastRenderedPageBreak/>
        <w:t>References</w:t>
      </w:r>
    </w:p>
    <w:p w:rsidR="007B7AAB" w:rsidRDefault="007B7AAB" w:rsidP="007B7AAB">
      <w:pPr>
        <w:rPr>
          <w:b/>
        </w:rPr>
      </w:pPr>
    </w:p>
    <w:p w:rsidR="007B7AAB" w:rsidRPr="007B7AAB" w:rsidRDefault="007B7AAB" w:rsidP="007B7AAB">
      <w:pPr>
        <w:pStyle w:val="ListParagraph"/>
        <w:numPr>
          <w:ilvl w:val="0"/>
          <w:numId w:val="2"/>
        </w:numPr>
      </w:pPr>
      <w:proofErr w:type="spellStart"/>
      <w:r w:rsidRPr="007B7AAB">
        <w:t>Steffel</w:t>
      </w:r>
      <w:proofErr w:type="spellEnd"/>
      <w:r w:rsidRPr="007B7AAB">
        <w:t xml:space="preserve">, J., </w:t>
      </w:r>
      <w:proofErr w:type="spellStart"/>
      <w:r w:rsidRPr="007B7AAB">
        <w:t>Giugliano</w:t>
      </w:r>
      <w:proofErr w:type="spellEnd"/>
      <w:r w:rsidRPr="007B7AAB">
        <w:t xml:space="preserve">, R.P., </w:t>
      </w:r>
      <w:proofErr w:type="spellStart"/>
      <w:r w:rsidRPr="007B7AAB">
        <w:t>Braunwald</w:t>
      </w:r>
      <w:proofErr w:type="spellEnd"/>
      <w:r w:rsidRPr="007B7AAB">
        <w:t xml:space="preserve">, E., Murphy, S.A., </w:t>
      </w:r>
      <w:proofErr w:type="spellStart"/>
      <w:r w:rsidRPr="007B7AAB">
        <w:t>Mercuri</w:t>
      </w:r>
      <w:proofErr w:type="spellEnd"/>
      <w:r w:rsidRPr="007B7AAB">
        <w:t xml:space="preserve">, M., Choi, Y., </w:t>
      </w:r>
      <w:proofErr w:type="spellStart"/>
      <w:r w:rsidRPr="007B7AAB">
        <w:t>Aylward</w:t>
      </w:r>
      <w:proofErr w:type="spellEnd"/>
      <w:r w:rsidRPr="007B7AAB">
        <w:t xml:space="preserve">, P., White, H., </w:t>
      </w:r>
      <w:proofErr w:type="spellStart"/>
      <w:r w:rsidRPr="007B7AAB">
        <w:t>Zamorano</w:t>
      </w:r>
      <w:proofErr w:type="spellEnd"/>
      <w:r w:rsidRPr="007B7AAB">
        <w:t xml:space="preserve">, J.L., </w:t>
      </w:r>
      <w:proofErr w:type="spellStart"/>
      <w:r w:rsidRPr="007B7AAB">
        <w:t>Antman</w:t>
      </w:r>
      <w:proofErr w:type="spellEnd"/>
      <w:r w:rsidRPr="007B7AAB">
        <w:t xml:space="preserve">, E.M. and Ruff, C.T., 2016. </w:t>
      </w:r>
      <w:proofErr w:type="spellStart"/>
      <w:r w:rsidRPr="007B7AAB">
        <w:t>Edoxaban</w:t>
      </w:r>
      <w:proofErr w:type="spellEnd"/>
      <w:r w:rsidRPr="007B7AAB">
        <w:t xml:space="preserve"> Versus Warfarin in Atrial Fibrillation Patients at Risk of Falling: ENGAGE AF–TIMI 48 Analysis. Journal of the American College of Cardiology, 68(11), pp.1169-1178.</w:t>
      </w:r>
    </w:p>
    <w:p w:rsidR="007B7AAB" w:rsidRPr="007B7AAB" w:rsidRDefault="007B7AAB" w:rsidP="007B7AAB">
      <w:pPr>
        <w:pStyle w:val="ListParagraph"/>
        <w:numPr>
          <w:ilvl w:val="0"/>
          <w:numId w:val="2"/>
        </w:numPr>
      </w:pPr>
      <w:r w:rsidRPr="007B7AAB">
        <w:t xml:space="preserve">Granger, C.B., Alexander, J.H., McMurray, J.J., Lopes, R.D., </w:t>
      </w:r>
      <w:proofErr w:type="spellStart"/>
      <w:r w:rsidRPr="007B7AAB">
        <w:t>Hylek</w:t>
      </w:r>
      <w:proofErr w:type="spellEnd"/>
      <w:r w:rsidRPr="007B7AAB">
        <w:t>, E.M., Hanna, M., Al-</w:t>
      </w:r>
      <w:proofErr w:type="spellStart"/>
      <w:r w:rsidRPr="007B7AAB">
        <w:t>Khalidi</w:t>
      </w:r>
      <w:proofErr w:type="spellEnd"/>
      <w:r w:rsidRPr="007B7AAB">
        <w:t xml:space="preserve">, H.R., Ansell, J., </w:t>
      </w:r>
      <w:proofErr w:type="spellStart"/>
      <w:r w:rsidRPr="007B7AAB">
        <w:t>Atar</w:t>
      </w:r>
      <w:proofErr w:type="spellEnd"/>
      <w:r w:rsidRPr="007B7AAB">
        <w:t xml:space="preserve">, D., </w:t>
      </w:r>
      <w:proofErr w:type="spellStart"/>
      <w:r w:rsidRPr="007B7AAB">
        <w:t>Avezum</w:t>
      </w:r>
      <w:proofErr w:type="spellEnd"/>
      <w:r w:rsidRPr="007B7AAB">
        <w:t xml:space="preserve">, A. and </w:t>
      </w:r>
      <w:proofErr w:type="spellStart"/>
      <w:r w:rsidRPr="007B7AAB">
        <w:t>Bahit</w:t>
      </w:r>
      <w:proofErr w:type="spellEnd"/>
      <w:r w:rsidRPr="007B7AAB">
        <w:t xml:space="preserve">, M.C., 2011. </w:t>
      </w:r>
      <w:proofErr w:type="spellStart"/>
      <w:r w:rsidRPr="007B7AAB">
        <w:t>Apixaban</w:t>
      </w:r>
      <w:proofErr w:type="spellEnd"/>
      <w:r w:rsidRPr="007B7AAB">
        <w:t xml:space="preserve"> versus warfarin in patients with atrial fibrillation. New England Journal of Medicine, 365(11), pp.981-992.</w:t>
      </w:r>
    </w:p>
    <w:p w:rsidR="007B7AAB" w:rsidRDefault="007B7AAB" w:rsidP="007B7AAB">
      <w:pPr>
        <w:pStyle w:val="ListParagraph"/>
        <w:numPr>
          <w:ilvl w:val="0"/>
          <w:numId w:val="2"/>
        </w:num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706120</wp:posOffset>
                </wp:positionV>
                <wp:extent cx="6521450" cy="0"/>
                <wp:effectExtent l="0" t="0" r="3175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214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702AC8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pt,55.6pt" to="515.5pt,5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" strokecolor="#5b9bd5 [3204]" strokeweight=".5pt">
                <v:stroke joinstyle="miter"/>
              </v:line>
            </w:pict>
          </mc:Fallback>
        </mc:AlternateContent>
      </w:r>
      <w:proofErr w:type="spellStart"/>
      <w:r w:rsidRPr="007B7AAB">
        <w:t>Atreja</w:t>
      </w:r>
      <w:proofErr w:type="spellEnd"/>
      <w:r w:rsidRPr="007B7AAB">
        <w:t xml:space="preserve">, A., </w:t>
      </w:r>
      <w:proofErr w:type="spellStart"/>
      <w:r w:rsidRPr="007B7AAB">
        <w:t>Bellam</w:t>
      </w:r>
      <w:proofErr w:type="spellEnd"/>
      <w:r w:rsidRPr="007B7AAB">
        <w:t>, N. and Levy, S.R., 2005. Strategies to enhance patient adherence: making it simple. Medscape General Medicine, 7(1), p.4.</w:t>
      </w:r>
    </w:p>
    <w:p w:rsidR="007B7AAB" w:rsidRPr="007B7AAB" w:rsidRDefault="007B7AAB" w:rsidP="007B7AAB"/>
    <w:p w:rsidR="007B7AAB" w:rsidRPr="007B7AAB" w:rsidRDefault="007B7AAB" w:rsidP="007B7AAB"/>
    <w:p w:rsidR="007B7AAB" w:rsidRDefault="007B7AAB" w:rsidP="007B7AAB"/>
    <w:p w:rsidR="007B7AAB" w:rsidRDefault="007B7AAB" w:rsidP="007B7AAB">
      <w:pPr>
        <w:pStyle w:val="Heading2"/>
      </w:pPr>
      <w:r>
        <w:t xml:space="preserve">Biography </w:t>
      </w:r>
    </w:p>
    <w:p w:rsidR="007B7AAB" w:rsidRDefault="007B7AAB" w:rsidP="007B7AAB">
      <w:pPr>
        <w:tabs>
          <w:tab w:val="left" w:pos="1060"/>
        </w:tabs>
        <w:rPr>
          <w:b/>
        </w:rPr>
      </w:pPr>
    </w:p>
    <w:p w:rsidR="005A695C" w:rsidRDefault="007B7AAB" w:rsidP="007B7AAB">
      <w:pPr>
        <w:tabs>
          <w:tab w:val="left" w:pos="1060"/>
        </w:tabs>
      </w:pPr>
      <w:r>
        <w:t xml:space="preserve">Ahmed El-Medany </w:t>
      </w:r>
      <w:r w:rsidR="005A695C">
        <w:t xml:space="preserve">is a Core Medical Trainee based in Southmead Hospital in Bristol. He has a keen interest in Cardiology, and at the age of 26 has been involved in several publications, including ‘Cardiology in a Heartbeat’, a textbook covering essential Cardiology for medical undergraduates. In his spare time, he has a Private Pilot’s license, and is an avid Latin dancer. </w:t>
      </w:r>
    </w:p>
    <w:p w:rsidR="005A695C" w:rsidRDefault="005A695C" w:rsidP="007B7AAB">
      <w:pPr>
        <w:tabs>
          <w:tab w:val="left" w:pos="1060"/>
        </w:tabs>
      </w:pPr>
    </w:p>
    <w:p w:rsidR="005A695C" w:rsidRDefault="005A695C" w:rsidP="007B7AAB">
      <w:pPr>
        <w:tabs>
          <w:tab w:val="left" w:pos="1060"/>
        </w:tabs>
      </w:pPr>
    </w:p>
    <w:p w:rsidR="005A695C" w:rsidRDefault="005A695C" w:rsidP="007B7AAB">
      <w:pPr>
        <w:tabs>
          <w:tab w:val="left" w:pos="1060"/>
        </w:tabs>
      </w:pPr>
      <w:r>
        <w:t xml:space="preserve">Email: </w:t>
      </w:r>
      <w:hyperlink r:id="rId7" w:history="1">
        <w:r w:rsidRPr="0018131C">
          <w:rPr>
            <w:rStyle w:val="Hyperlink"/>
          </w:rPr>
          <w:t>amedany@doctors.org.uk</w:t>
        </w:r>
      </w:hyperlink>
    </w:p>
    <w:p w:rsidR="005A695C" w:rsidRDefault="005A695C" w:rsidP="007B7AAB">
      <w:pPr>
        <w:tabs>
          <w:tab w:val="left" w:pos="1060"/>
        </w:tabs>
      </w:pPr>
      <w:r>
        <w:t>Phone: +447875647383</w:t>
      </w:r>
      <w:bookmarkStart w:id="0" w:name="_GoBack"/>
      <w:bookmarkEnd w:id="0"/>
    </w:p>
    <w:p w:rsidR="007B7AAB" w:rsidRPr="007B7AAB" w:rsidRDefault="005A695C" w:rsidP="007B7AAB">
      <w:pPr>
        <w:tabs>
          <w:tab w:val="left" w:pos="1060"/>
        </w:tabs>
      </w:pPr>
      <w:r>
        <w:t xml:space="preserve"> </w:t>
      </w:r>
    </w:p>
    <w:sectPr w:rsidR="007B7AAB" w:rsidRPr="007B7AAB" w:rsidSect="00D12E5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1770E2"/>
    <w:multiLevelType w:val="hybridMultilevel"/>
    <w:tmpl w:val="D8B068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E769C2"/>
    <w:multiLevelType w:val="hybridMultilevel"/>
    <w:tmpl w:val="F00215BE"/>
    <w:lvl w:ilvl="0" w:tplc="9820AF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4149E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DA820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3B42C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B6618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28C8A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DA46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9F268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DFAE9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C51"/>
    <w:rsid w:val="00326C51"/>
    <w:rsid w:val="00550BAF"/>
    <w:rsid w:val="005A695C"/>
    <w:rsid w:val="007B7AAB"/>
    <w:rsid w:val="008A73DD"/>
    <w:rsid w:val="00BD6D2C"/>
    <w:rsid w:val="00CA5EEF"/>
    <w:rsid w:val="00D12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5CF870-5603-4B5F-B2E9-9DA6B01E4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6C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26C5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6C5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26C5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7B7AA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A695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680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85280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2483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144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medany@doctors.org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chart" Target="charts/chart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1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200" b="1" dirty="0" smtClean="0"/>
              <a:t>Change in NOAC</a:t>
            </a:r>
            <a:r>
              <a:rPr lang="en-US" sz="1200" b="1" baseline="0" dirty="0" smtClean="0"/>
              <a:t> dosing</a:t>
            </a:r>
            <a:endParaRPr lang="en-US" sz="1200" b="1" dirty="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9723812462804699"/>
          <c:y val="0.19470833333333301"/>
          <c:w val="0.74699837227167498"/>
          <c:h val="0.5705737514444060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1st cycle</c:v>
                </c:pt>
              </c:strCache>
            </c:strRef>
          </c:tx>
          <c:spPr>
            <a:solidFill>
              <a:schemeClr val="accent1">
                <a:shade val="76000"/>
              </a:schemeClr>
            </a:solidFill>
            <a:ln>
              <a:noFill/>
            </a:ln>
            <a:effectLst/>
          </c:spPr>
          <c:invertIfNegative val="0"/>
          <c:cat>
            <c:strRef>
              <c:f>Sheet1!$A$2:$A$4</c:f>
              <c:strCache>
                <c:ptCount val="3"/>
                <c:pt idx="0">
                  <c:v>Correctly</c:v>
                </c:pt>
                <c:pt idx="1">
                  <c:v>Incorrectly</c:v>
                </c:pt>
                <c:pt idx="2">
                  <c:v>Unknown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60.9</c:v>
                </c:pt>
                <c:pt idx="1">
                  <c:v>13</c:v>
                </c:pt>
                <c:pt idx="2">
                  <c:v>26.1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2nd cycle</c:v>
                </c:pt>
              </c:strCache>
            </c:strRef>
          </c:tx>
          <c:spPr>
            <a:solidFill>
              <a:schemeClr val="accent1">
                <a:tint val="77000"/>
              </a:schemeClr>
            </a:solidFill>
            <a:ln>
              <a:noFill/>
            </a:ln>
            <a:effectLst/>
          </c:spPr>
          <c:invertIfNegative val="0"/>
          <c:cat>
            <c:strRef>
              <c:f>Sheet1!$A$2:$A$4</c:f>
              <c:strCache>
                <c:ptCount val="3"/>
                <c:pt idx="0">
                  <c:v>Correctly</c:v>
                </c:pt>
                <c:pt idx="1">
                  <c:v>Incorrectly</c:v>
                </c:pt>
                <c:pt idx="2">
                  <c:v>Unknown</c:v>
                </c:pt>
              </c:strCache>
            </c:strRef>
          </c:cat>
          <c:val>
            <c:numRef>
              <c:f>Sheet1!$C$2:$C$4</c:f>
              <c:numCache>
                <c:formatCode>General</c:formatCode>
                <c:ptCount val="3"/>
                <c:pt idx="0">
                  <c:v>70.599999999999994</c:v>
                </c:pt>
                <c:pt idx="1">
                  <c:v>11.8</c:v>
                </c:pt>
                <c:pt idx="2">
                  <c:v>17.600000000000001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-1140924784"/>
        <c:axId val="-1140931312"/>
      </c:barChart>
      <c:catAx>
        <c:axId val="-11409247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140931312"/>
        <c:crosses val="autoZero"/>
        <c:auto val="1"/>
        <c:lblAlgn val="ctr"/>
        <c:lblOffset val="100"/>
        <c:noMultiLvlLbl val="0"/>
      </c:catAx>
      <c:valAx>
        <c:axId val="-11409313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5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050" dirty="0" smtClean="0"/>
                  <a:t>%</a:t>
                </a:r>
                <a:r>
                  <a:rPr lang="en-US" sz="1050" baseline="0" dirty="0" smtClean="0"/>
                  <a:t> of patients dosed</a:t>
                </a:r>
                <a:endParaRPr lang="en-US" sz="1050" dirty="0"/>
              </a:p>
            </c:rich>
          </c:tx>
          <c:layout>
            <c:manualLayout>
              <c:xMode val="edge"/>
              <c:yMode val="edge"/>
              <c:x val="2.3146702678424901E-2"/>
              <c:y val="0.275344349547817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5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97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1409247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1557800155662802"/>
          <c:y val="0.83592265305927604"/>
          <c:w val="0.49639049417563103"/>
          <c:h val="9.7238425913004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withinLinear" id="14">
  <a:schemeClr val="accent1"/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33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33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197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197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62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518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El-Medany</dc:creator>
  <cp:keywords/>
  <dc:description/>
  <cp:lastModifiedBy>Ahmed El-Medany</cp:lastModifiedBy>
  <cp:revision>2</cp:revision>
  <dcterms:created xsi:type="dcterms:W3CDTF">2018-05-29T14:57:00Z</dcterms:created>
  <dcterms:modified xsi:type="dcterms:W3CDTF">2018-05-29T14:57:00Z</dcterms:modified>
</cp:coreProperties>
</file>