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1353E" w:rsidP="00C1353E">
      <w:pPr>
        <w:pStyle w:val="Heading1"/>
        <w:spacing w:before="170"/>
        <w:ind w:left="0"/>
        <w:jc w:val="center"/>
      </w:pPr>
      <w:r>
        <w:rPr>
          <w:color w:val="337AB7"/>
        </w:rPr>
        <w:t xml:space="preserve">Dabigatran vs. Warfarin for Treatment of </w:t>
      </w:r>
      <w:proofErr w:type="spellStart"/>
      <w:r>
        <w:rPr>
          <w:color w:val="337AB7"/>
        </w:rPr>
        <w:t>AtrialFibrillation</w:t>
      </w:r>
      <w:proofErr w:type="spellEnd"/>
    </w:p>
    <w:p w:rsidR="00AE3E37" w:rsidRPr="001163B0" w:rsidRDefault="00E43F59">
      <w:pPr>
        <w:pStyle w:val="BodyText"/>
        <w:rPr>
          <w:rFonts w:ascii="Arial"/>
          <w:b/>
          <w:lang w:val="en"/>
        </w:rPr>
      </w:pPr>
      <w:r>
        <w:rPr>
          <w:rFonts w:ascii="Arial"/>
          <w:b/>
          <w:lang w:val="en"/>
        </w:rPr>
        <w:t xml:space="preserve">Joyce Oh &amp; </w:t>
      </w:r>
      <w:proofErr w:type="spellStart"/>
      <w:r w:rsidR="00AD702B" w:rsidRPr="00AD702B">
        <w:rPr>
          <w:rFonts w:ascii="Arial"/>
          <w:b/>
          <w:lang w:val="en"/>
        </w:rPr>
        <w:t>Nazish</w:t>
      </w:r>
      <w:proofErr w:type="spellEnd"/>
      <w:r w:rsidR="00AD702B">
        <w:rPr>
          <w:rFonts w:ascii="Arial"/>
          <w:b/>
          <w:lang w:val="en"/>
        </w:rPr>
        <w:t xml:space="preserve">, </w:t>
      </w:r>
      <w:proofErr w:type="spellStart"/>
      <w:r w:rsidR="00AD702B">
        <w:rPr>
          <w:rFonts w:ascii="Arial"/>
          <w:b/>
          <w:lang w:val="en"/>
        </w:rPr>
        <w:t>Touro</w:t>
      </w:r>
      <w:proofErr w:type="spellEnd"/>
      <w:r w:rsidR="00AD702B">
        <w:rPr>
          <w:rFonts w:ascii="Arial"/>
          <w:b/>
          <w:lang w:val="en"/>
        </w:rPr>
        <w:t xml:space="preserve"> College of Pharmacy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1353E" w:rsidRDefault="00C1353E" w:rsidP="00C1353E">
      <w:pPr>
        <w:pStyle w:val="Heading3"/>
        <w:spacing w:before="74"/>
        <w:rPr>
          <w:b w:val="0"/>
          <w:lang w:val="en"/>
        </w:rPr>
      </w:pPr>
      <w:r w:rsidRPr="00C1353E">
        <w:rPr>
          <w:b w:val="0"/>
          <w:i/>
          <w:lang w:val="en"/>
        </w:rPr>
        <w:t>Objective:</w:t>
      </w:r>
      <w:r w:rsidRPr="00C1353E">
        <w:rPr>
          <w:b w:val="0"/>
          <w:lang w:val="en"/>
        </w:rPr>
        <w:t xml:space="preserve"> To assess and compare the efficacy and safety of dabigatran with warfarin in patients with atrial fibrillation(AF) in preventing the recurrence of blood clot, lower risk of internal bleeding or hemorrhage in treated patients.</w:t>
      </w:r>
    </w:p>
    <w:p w:rsidR="00F420EE" w:rsidRPr="00C1353E" w:rsidRDefault="00F420EE" w:rsidP="00C1353E">
      <w:pPr>
        <w:pStyle w:val="Heading3"/>
        <w:spacing w:before="74"/>
        <w:rPr>
          <w:b w:val="0"/>
          <w:lang w:val="en"/>
        </w:rPr>
      </w:pPr>
    </w:p>
    <w:p w:rsidR="00C1353E" w:rsidRDefault="00C1353E" w:rsidP="00C1353E">
      <w:pPr>
        <w:pStyle w:val="Heading3"/>
        <w:spacing w:before="74"/>
        <w:rPr>
          <w:b w:val="0"/>
          <w:lang w:val="en"/>
        </w:rPr>
      </w:pPr>
      <w:r w:rsidRPr="00C1353E">
        <w:rPr>
          <w:b w:val="0"/>
          <w:i/>
          <w:lang w:val="en"/>
        </w:rPr>
        <w:t>Background</w:t>
      </w:r>
      <w:r w:rsidRPr="00C1353E">
        <w:rPr>
          <w:b w:val="0"/>
          <w:lang w:val="en"/>
        </w:rPr>
        <w:t>: Atrial Fibrillation is associated with heart related mortality and increased risk of stroke. Warfarin, a vitamin K antagonist had been the standard therapy for years since mid 20</w:t>
      </w:r>
      <w:r w:rsidRPr="00C1353E">
        <w:rPr>
          <w:b w:val="0"/>
          <w:vertAlign w:val="superscript"/>
          <w:lang w:val="en"/>
        </w:rPr>
        <w:t>th</w:t>
      </w:r>
      <w:r w:rsidRPr="00C1353E">
        <w:rPr>
          <w:b w:val="0"/>
          <w:lang w:val="en"/>
        </w:rPr>
        <w:t xml:space="preserve"> century for AF and other blood coagulation disorders until recently the non- vitamin K antagonist, dabigatran came about as another option for prevention of stroke in patients with </w:t>
      </w:r>
      <w:proofErr w:type="spellStart"/>
      <w:r w:rsidRPr="00C1353E">
        <w:rPr>
          <w:b w:val="0"/>
          <w:lang w:val="en"/>
        </w:rPr>
        <w:t>nonvalvular</w:t>
      </w:r>
      <w:proofErr w:type="spellEnd"/>
      <w:r w:rsidRPr="00C1353E">
        <w:rPr>
          <w:b w:val="0"/>
          <w:lang w:val="en"/>
        </w:rPr>
        <w:t xml:space="preserve"> atrial fibrillation. The </w:t>
      </w:r>
      <w:r w:rsidR="0075335C">
        <w:rPr>
          <w:b w:val="0"/>
          <w:lang w:val="en"/>
        </w:rPr>
        <w:t xml:space="preserve">“net benefits” of this new oral </w:t>
      </w:r>
      <w:r w:rsidRPr="00C1353E">
        <w:rPr>
          <w:b w:val="0"/>
          <w:lang w:val="en"/>
        </w:rPr>
        <w:t>anticoagulant are questioning with regards to its’ efficacy and safety outcomes. The “net benefits” of dabigatran must outweigh the disadvantages and benefits must be greater than the standard therapy for dabigatran to be considered primary treatment option for atrial fibrillation.</w:t>
      </w:r>
    </w:p>
    <w:p w:rsidR="00F420EE" w:rsidRPr="00C1353E" w:rsidRDefault="00F420EE" w:rsidP="00C1353E">
      <w:pPr>
        <w:pStyle w:val="Heading3"/>
        <w:spacing w:before="74"/>
        <w:rPr>
          <w:b w:val="0"/>
          <w:lang w:val="en"/>
        </w:rPr>
      </w:pPr>
    </w:p>
    <w:p w:rsidR="00C1353E" w:rsidRDefault="00C1353E" w:rsidP="00C1353E">
      <w:pPr>
        <w:pStyle w:val="Heading3"/>
        <w:spacing w:before="74"/>
        <w:rPr>
          <w:b w:val="0"/>
          <w:lang w:val="en"/>
        </w:rPr>
      </w:pPr>
      <w:r w:rsidRPr="00C1353E">
        <w:rPr>
          <w:b w:val="0"/>
          <w:i/>
          <w:lang w:val="en"/>
        </w:rPr>
        <w:t>Methods</w:t>
      </w:r>
      <w:r w:rsidRPr="00C1353E">
        <w:rPr>
          <w:b w:val="0"/>
          <w:lang w:val="en"/>
        </w:rPr>
        <w:t xml:space="preserve">: PubMed, </w:t>
      </w:r>
      <w:proofErr w:type="spellStart"/>
      <w:r w:rsidRPr="00C1353E">
        <w:rPr>
          <w:b w:val="0"/>
          <w:lang w:val="en"/>
        </w:rPr>
        <w:t>Embase</w:t>
      </w:r>
      <w:proofErr w:type="spellEnd"/>
      <w:r w:rsidRPr="00C1353E">
        <w:rPr>
          <w:b w:val="0"/>
          <w:lang w:val="en"/>
        </w:rPr>
        <w:t>, and CINAHL were searched for studies pertaining to dabigatran, warfarin, and atrial fibrillation limited to human studies, observational studies, randomized clinical trials, controlled clinical trials, and clinical trials.</w:t>
      </w:r>
    </w:p>
    <w:p w:rsidR="00F420EE" w:rsidRPr="00C1353E" w:rsidRDefault="00F420EE" w:rsidP="00C1353E">
      <w:pPr>
        <w:pStyle w:val="Heading3"/>
        <w:spacing w:before="74"/>
        <w:rPr>
          <w:b w:val="0"/>
          <w:lang w:val="en"/>
        </w:rPr>
      </w:pPr>
    </w:p>
    <w:p w:rsidR="00C1353E" w:rsidRPr="00C1353E" w:rsidRDefault="00C1353E" w:rsidP="00C1353E">
      <w:pPr>
        <w:pStyle w:val="Heading3"/>
        <w:spacing w:before="74"/>
        <w:rPr>
          <w:b w:val="0"/>
          <w:lang w:val="en"/>
        </w:rPr>
      </w:pPr>
      <w:r w:rsidRPr="00C1353E">
        <w:rPr>
          <w:b w:val="0"/>
          <w:i/>
          <w:lang w:val="en"/>
        </w:rPr>
        <w:t>Results:</w:t>
      </w:r>
      <w:r w:rsidRPr="00C1353E">
        <w:rPr>
          <w:b w:val="0"/>
          <w:lang w:val="en"/>
        </w:rPr>
        <w:t xml:space="preserve"> Dabigatran has been linked to reduced risk of stroke and life threatening bleeding, all-cause mortality and intracranial hemorrhage compared to warfarin. The high dose regimen of dabigatran demonstrated better safety and efficacy than the low dose demonstrated.</w:t>
      </w:r>
    </w:p>
    <w:p w:rsidR="00C1353E" w:rsidRPr="00C1353E" w:rsidRDefault="00C1353E" w:rsidP="00C1353E">
      <w:pPr>
        <w:pStyle w:val="Heading3"/>
        <w:spacing w:before="74"/>
        <w:rPr>
          <w:b w:val="0"/>
          <w:lang w:val="en"/>
        </w:rPr>
      </w:pPr>
      <w:r w:rsidRPr="00C1353E">
        <w:rPr>
          <w:b w:val="0"/>
          <w:i/>
          <w:lang w:val="en"/>
        </w:rPr>
        <w:t>Conclusion</w:t>
      </w:r>
      <w:r w:rsidRPr="00C1353E">
        <w:rPr>
          <w:b w:val="0"/>
          <w:lang w:val="en"/>
        </w:rPr>
        <w:t>: Dabigatran may be superior to warfarin in patients with atrial fibrillation.</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F420EE" w:rsidRDefault="00F420EE">
      <w:pPr>
        <w:pStyle w:val="BodyText"/>
        <w:spacing w:before="2"/>
        <w:rPr>
          <w:rFonts w:ascii="Arial"/>
          <w:b/>
          <w:sz w:val="16"/>
        </w:rPr>
      </w:pPr>
      <w:r>
        <w:rPr>
          <w:rFonts w:ascii="Arial"/>
          <w:b/>
          <w:noProof/>
          <w:sz w:val="16"/>
        </w:rPr>
        <w:drawing>
          <wp:inline distT="0" distB="0" distL="0" distR="0">
            <wp:extent cx="3165475" cy="36480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3-12 at 12.14.14 PM.png"/>
                    <pic:cNvPicPr/>
                  </pic:nvPicPr>
                  <pic:blipFill>
                    <a:blip r:embed="rId9">
                      <a:extLst>
                        <a:ext uri="{28A0092B-C50C-407E-A947-70E740481C1C}">
                          <a14:useLocalDpi xmlns:a14="http://schemas.microsoft.com/office/drawing/2010/main" val="0"/>
                        </a:ext>
                      </a:extLst>
                    </a:blip>
                    <a:stretch>
                      <a:fillRect/>
                    </a:stretch>
                  </pic:blipFill>
                  <pic:spPr>
                    <a:xfrm>
                      <a:off x="0" y="0"/>
                      <a:ext cx="3165475" cy="364807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5335C" w:rsidRPr="00807557" w:rsidRDefault="0075335C" w:rsidP="0075335C">
      <w:pPr>
        <w:pStyle w:val="BulletedList"/>
        <w:numPr>
          <w:ilvl w:val="0"/>
          <w:numId w:val="4"/>
        </w:numPr>
        <w:contextualSpacing/>
        <w:rPr>
          <w:rFonts w:ascii="Arial" w:hAnsi="Arial" w:cs="Arial"/>
          <w:sz w:val="20"/>
          <w:szCs w:val="20"/>
        </w:rPr>
      </w:pPr>
      <w:r w:rsidRPr="00807557">
        <w:rPr>
          <w:rFonts w:ascii="Arial" w:hAnsi="Arial" w:cs="Arial"/>
          <w:bCs/>
          <w:sz w:val="20"/>
          <w:szCs w:val="20"/>
        </w:rPr>
        <w:t>Keller KL</w:t>
      </w:r>
      <w:r w:rsidRPr="00807557">
        <w:rPr>
          <w:rFonts w:ascii="Arial" w:hAnsi="Arial" w:cs="Arial"/>
          <w:sz w:val="20"/>
          <w:szCs w:val="20"/>
        </w:rPr>
        <w:t xml:space="preserve">, </w:t>
      </w:r>
      <w:proofErr w:type="spellStart"/>
      <w:r w:rsidRPr="00807557">
        <w:rPr>
          <w:rFonts w:ascii="Arial" w:hAnsi="Arial" w:cs="Arial"/>
          <w:sz w:val="20"/>
          <w:szCs w:val="20"/>
        </w:rPr>
        <w:t>Kuilema</w:t>
      </w:r>
      <w:proofErr w:type="spellEnd"/>
      <w:r w:rsidRPr="00807557">
        <w:rPr>
          <w:rFonts w:ascii="Arial" w:hAnsi="Arial" w:cs="Arial"/>
          <w:sz w:val="20"/>
          <w:szCs w:val="20"/>
        </w:rPr>
        <w:t xml:space="preserve"> LG, Lee N, </w:t>
      </w:r>
      <w:r w:rsidRPr="00807557">
        <w:rPr>
          <w:rFonts w:ascii="Arial" w:hAnsi="Arial" w:cs="Arial"/>
          <w:b/>
          <w:sz w:val="20"/>
          <w:szCs w:val="20"/>
        </w:rPr>
        <w:t>Yoon J</w:t>
      </w:r>
      <w:r w:rsidRPr="00807557">
        <w:rPr>
          <w:rFonts w:ascii="Arial" w:hAnsi="Arial" w:cs="Arial"/>
          <w:sz w:val="20"/>
          <w:szCs w:val="20"/>
        </w:rPr>
        <w:t xml:space="preserve">, </w:t>
      </w:r>
      <w:proofErr w:type="spellStart"/>
      <w:r w:rsidRPr="00807557">
        <w:rPr>
          <w:rFonts w:ascii="Arial" w:hAnsi="Arial" w:cs="Arial"/>
          <w:sz w:val="20"/>
          <w:szCs w:val="20"/>
        </w:rPr>
        <w:t>Mascaro</w:t>
      </w:r>
      <w:proofErr w:type="spellEnd"/>
      <w:r w:rsidRPr="00807557">
        <w:rPr>
          <w:rFonts w:ascii="Arial" w:hAnsi="Arial" w:cs="Arial"/>
          <w:sz w:val="20"/>
          <w:szCs w:val="20"/>
        </w:rPr>
        <w:t xml:space="preserve"> B, Combes A-L, Deutsch B, </w:t>
      </w:r>
      <w:proofErr w:type="spellStart"/>
      <w:r w:rsidRPr="00807557">
        <w:rPr>
          <w:rFonts w:ascii="Arial" w:hAnsi="Arial" w:cs="Arial"/>
          <w:sz w:val="20"/>
          <w:szCs w:val="20"/>
        </w:rPr>
        <w:t>Sorte</w:t>
      </w:r>
      <w:proofErr w:type="spellEnd"/>
      <w:r w:rsidRPr="00807557">
        <w:rPr>
          <w:rFonts w:ascii="Arial" w:hAnsi="Arial" w:cs="Arial"/>
          <w:sz w:val="20"/>
          <w:szCs w:val="20"/>
        </w:rPr>
        <w:t xml:space="preserve"> K, </w:t>
      </w:r>
      <w:proofErr w:type="spellStart"/>
      <w:r w:rsidRPr="00807557">
        <w:rPr>
          <w:rFonts w:ascii="Arial" w:hAnsi="Arial" w:cs="Arial"/>
          <w:sz w:val="20"/>
          <w:szCs w:val="20"/>
        </w:rPr>
        <w:t>Halford</w:t>
      </w:r>
      <w:proofErr w:type="spellEnd"/>
      <w:r w:rsidRPr="00807557">
        <w:rPr>
          <w:rFonts w:ascii="Arial" w:hAnsi="Arial" w:cs="Arial"/>
          <w:sz w:val="20"/>
          <w:szCs w:val="20"/>
        </w:rPr>
        <w:t xml:space="preserve"> JCG. The impact of food branding on children’s eating behavior and obesity: a presentation given at the Society for the Study of </w:t>
      </w:r>
      <w:proofErr w:type="spellStart"/>
      <w:r w:rsidRPr="00807557">
        <w:rPr>
          <w:rFonts w:ascii="Arial" w:hAnsi="Arial" w:cs="Arial"/>
          <w:sz w:val="20"/>
          <w:szCs w:val="20"/>
        </w:rPr>
        <w:t>Ingestive</w:t>
      </w:r>
      <w:proofErr w:type="spellEnd"/>
      <w:r w:rsidRPr="00807557">
        <w:rPr>
          <w:rFonts w:ascii="Arial" w:hAnsi="Arial" w:cs="Arial"/>
          <w:sz w:val="20"/>
          <w:szCs w:val="20"/>
        </w:rPr>
        <w:t xml:space="preserve"> Behavior Annual Meeting. </w:t>
      </w:r>
      <w:proofErr w:type="spellStart"/>
      <w:r w:rsidRPr="00807557">
        <w:rPr>
          <w:rFonts w:ascii="Arial" w:hAnsi="Arial" w:cs="Arial"/>
          <w:i/>
          <w:iCs/>
          <w:sz w:val="20"/>
          <w:szCs w:val="20"/>
        </w:rPr>
        <w:t>Physiol</w:t>
      </w:r>
      <w:proofErr w:type="spellEnd"/>
      <w:r w:rsidRPr="00807557">
        <w:rPr>
          <w:rFonts w:ascii="Arial" w:hAnsi="Arial" w:cs="Arial"/>
          <w:i/>
          <w:iCs/>
          <w:sz w:val="20"/>
          <w:szCs w:val="20"/>
        </w:rPr>
        <w:t xml:space="preserve"> </w:t>
      </w:r>
      <w:proofErr w:type="spellStart"/>
      <w:r w:rsidRPr="00807557">
        <w:rPr>
          <w:rFonts w:ascii="Arial" w:hAnsi="Arial" w:cs="Arial"/>
          <w:i/>
          <w:iCs/>
          <w:sz w:val="20"/>
          <w:szCs w:val="20"/>
        </w:rPr>
        <w:t>Behav</w:t>
      </w:r>
      <w:proofErr w:type="spellEnd"/>
      <w:r w:rsidRPr="00807557">
        <w:rPr>
          <w:rFonts w:ascii="Arial" w:hAnsi="Arial" w:cs="Arial"/>
          <w:sz w:val="20"/>
          <w:szCs w:val="20"/>
        </w:rPr>
        <w:t xml:space="preserve">. 2012;106(3):379-86. </w:t>
      </w:r>
    </w:p>
    <w:p w:rsidR="00006533" w:rsidRPr="00807557" w:rsidRDefault="00006533" w:rsidP="00006533">
      <w:pPr>
        <w:pStyle w:val="ListParagraph"/>
        <w:numPr>
          <w:ilvl w:val="0"/>
          <w:numId w:val="4"/>
        </w:numPr>
        <w:rPr>
          <w:rFonts w:ascii="Arial" w:eastAsia="Malgun Gothic" w:hAnsi="Arial" w:cs="Arial"/>
          <w:color w:val="000000" w:themeColor="text1"/>
          <w:sz w:val="20"/>
          <w:szCs w:val="20"/>
          <w:lang w:eastAsia="ko-KR"/>
        </w:rPr>
      </w:pPr>
      <w:r w:rsidRPr="00807557">
        <w:rPr>
          <w:rFonts w:ascii="Arial" w:eastAsia="Malgun Gothic" w:hAnsi="Arial" w:cs="Arial"/>
          <w:color w:val="000000" w:themeColor="text1"/>
          <w:sz w:val="20"/>
          <w:szCs w:val="20"/>
          <w:lang w:eastAsia="ko-KR"/>
        </w:rPr>
        <w:t xml:space="preserve">Yoon, J. and </w:t>
      </w:r>
      <w:r w:rsidRPr="00807557">
        <w:rPr>
          <w:rFonts w:ascii="Arial" w:eastAsia="Malgun Gothic" w:hAnsi="Arial" w:cs="Arial"/>
          <w:b/>
          <w:color w:val="000000" w:themeColor="text1"/>
          <w:sz w:val="20"/>
          <w:szCs w:val="20"/>
          <w:lang w:eastAsia="ko-KR"/>
        </w:rPr>
        <w:t>Yoon, J</w:t>
      </w:r>
      <w:r w:rsidRPr="00807557">
        <w:rPr>
          <w:rFonts w:ascii="Arial" w:eastAsia="Malgun Gothic" w:hAnsi="Arial" w:cs="Arial"/>
          <w:color w:val="000000" w:themeColor="text1"/>
          <w:sz w:val="20"/>
          <w:szCs w:val="20"/>
          <w:lang w:eastAsia="ko-KR"/>
        </w:rPr>
        <w:t xml:space="preserve">. (2012). Interoperating DNA Gene Sequences and Nutrition Provisions for Personalized Wellness. </w:t>
      </w:r>
      <w:r w:rsidRPr="00807557">
        <w:rPr>
          <w:rFonts w:ascii="Arial" w:eastAsia="Malgun Gothic" w:hAnsi="Arial" w:cs="Arial"/>
          <w:i/>
          <w:color w:val="000000" w:themeColor="text1"/>
          <w:sz w:val="20"/>
          <w:szCs w:val="20"/>
          <w:lang w:eastAsia="ko-KR"/>
        </w:rPr>
        <w:t>BIONETICS</w:t>
      </w:r>
      <w:r w:rsidRPr="00807557">
        <w:rPr>
          <w:rFonts w:ascii="Arial" w:eastAsia="Malgun Gothic" w:hAnsi="Arial" w:cs="Arial"/>
          <w:color w:val="000000" w:themeColor="text1"/>
          <w:sz w:val="20"/>
          <w:szCs w:val="20"/>
          <w:lang w:eastAsia="ko-KR"/>
        </w:rPr>
        <w:t>, pp.325-333.</w:t>
      </w:r>
    </w:p>
    <w:p w:rsidR="0075335C" w:rsidRPr="00807557" w:rsidRDefault="0075335C" w:rsidP="0075335C">
      <w:pPr>
        <w:pStyle w:val="BulletedList"/>
        <w:numPr>
          <w:ilvl w:val="0"/>
          <w:numId w:val="4"/>
        </w:numPr>
        <w:contextualSpacing/>
        <w:jc w:val="left"/>
        <w:rPr>
          <w:rFonts w:ascii="Arial" w:hAnsi="Arial" w:cs="Arial"/>
          <w:sz w:val="20"/>
          <w:szCs w:val="20"/>
        </w:rPr>
      </w:pPr>
      <w:r w:rsidRPr="00807557">
        <w:rPr>
          <w:rFonts w:ascii="Arial" w:hAnsi="Arial" w:cs="Arial"/>
          <w:b/>
          <w:sz w:val="20"/>
          <w:szCs w:val="20"/>
        </w:rPr>
        <w:t>Yoon J</w:t>
      </w:r>
      <w:r w:rsidRPr="00807557">
        <w:rPr>
          <w:rFonts w:ascii="Arial" w:hAnsi="Arial" w:cs="Arial"/>
          <w:sz w:val="20"/>
          <w:szCs w:val="20"/>
        </w:rPr>
        <w:t>, Deutsch BJ, Keller K. Can fast food brand logos be used to improve children’s dietary choices? pilot study findings. Obesity. 19:S1;2011.</w:t>
      </w:r>
    </w:p>
    <w:p w:rsidR="00AE3E37" w:rsidRPr="00807557" w:rsidRDefault="0075335C" w:rsidP="0075335C">
      <w:pPr>
        <w:pStyle w:val="BulletedList"/>
        <w:numPr>
          <w:ilvl w:val="0"/>
          <w:numId w:val="4"/>
        </w:numPr>
        <w:contextualSpacing/>
        <w:rPr>
          <w:rFonts w:ascii="Arial" w:hAnsi="Arial" w:cs="Arial"/>
        </w:rPr>
      </w:pPr>
      <w:r w:rsidRPr="00807557">
        <w:rPr>
          <w:rFonts w:ascii="Arial" w:hAnsi="Arial" w:cs="Arial"/>
          <w:sz w:val="20"/>
          <w:szCs w:val="20"/>
        </w:rPr>
        <w:t xml:space="preserve">Deutsch BJ, </w:t>
      </w:r>
      <w:r w:rsidRPr="00807557">
        <w:rPr>
          <w:rFonts w:ascii="Arial" w:hAnsi="Arial" w:cs="Arial"/>
          <w:b/>
          <w:sz w:val="20"/>
          <w:szCs w:val="20"/>
        </w:rPr>
        <w:t>Yoon J</w:t>
      </w:r>
      <w:r w:rsidRPr="00807557">
        <w:rPr>
          <w:rFonts w:ascii="Arial" w:hAnsi="Arial" w:cs="Arial"/>
          <w:sz w:val="20"/>
          <w:szCs w:val="20"/>
        </w:rPr>
        <w:t xml:space="preserve">, </w:t>
      </w:r>
      <w:r w:rsidRPr="00807557">
        <w:rPr>
          <w:rFonts w:ascii="Arial" w:hAnsi="Arial" w:cs="Arial"/>
          <w:bCs/>
          <w:sz w:val="20"/>
          <w:szCs w:val="20"/>
        </w:rPr>
        <w:t>Keller K</w:t>
      </w:r>
      <w:r w:rsidRPr="00807557">
        <w:rPr>
          <w:rFonts w:ascii="Arial" w:hAnsi="Arial" w:cs="Arial"/>
          <w:sz w:val="20"/>
          <w:szCs w:val="20"/>
        </w:rPr>
        <w:t xml:space="preserve">. Use of a </w:t>
      </w:r>
      <w:proofErr w:type="spellStart"/>
      <w:r w:rsidRPr="00807557">
        <w:rPr>
          <w:rFonts w:ascii="Arial" w:hAnsi="Arial" w:cs="Arial"/>
          <w:sz w:val="20"/>
          <w:szCs w:val="20"/>
        </w:rPr>
        <w:t>stroop</w:t>
      </w:r>
      <w:proofErr w:type="spellEnd"/>
      <w:r w:rsidRPr="00807557">
        <w:rPr>
          <w:rFonts w:ascii="Arial" w:hAnsi="Arial" w:cs="Arial"/>
          <w:sz w:val="20"/>
          <w:szCs w:val="20"/>
        </w:rPr>
        <w:t xml:space="preserve"> task to test whether overweight children have a cognitive bias toward food brands. </w:t>
      </w:r>
      <w:r w:rsidRPr="00807557">
        <w:rPr>
          <w:rFonts w:ascii="Arial" w:hAnsi="Arial" w:cs="Arial"/>
          <w:i/>
          <w:iCs/>
          <w:sz w:val="20"/>
          <w:szCs w:val="20"/>
        </w:rPr>
        <w:t xml:space="preserve">Obesity. </w:t>
      </w:r>
      <w:r w:rsidRPr="00807557">
        <w:rPr>
          <w:rFonts w:ascii="Arial" w:hAnsi="Arial" w:cs="Arial"/>
          <w:sz w:val="20"/>
          <w:szCs w:val="20"/>
        </w:rPr>
        <w:t>19:S1;2011.</w:t>
      </w:r>
      <w:r w:rsidRPr="00807557">
        <w:rPr>
          <w:rFonts w:ascii="Arial" w:hAnsi="Arial" w:cs="Arial"/>
        </w:rPr>
        <w:t xml:space="preserve"> </w:t>
      </w:r>
      <w:r w:rsidRPr="00807557">
        <w:rPr>
          <w:rFonts w:ascii="MS Gothic" w:eastAsia="MS Gothic" w:hAnsi="MS Gothic" w:cs="MS Gothic" w:hint="eastAsia"/>
        </w:rPr>
        <w:t>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bookmarkEnd w:id="0"/>
      <w:r w:rsidR="000642C6">
        <w:rPr>
          <w:noProof/>
        </w:rPr>
        <w:t xml:space="preserve">    </w:t>
      </w:r>
      <w:r w:rsidR="00A9710C">
        <w:rPr>
          <w:rFonts w:ascii="Arial"/>
          <w:color w:val="BF5A14"/>
        </w:rPr>
        <w:t>Biography</w:t>
      </w:r>
      <w:r w:rsidR="00404E5B">
        <w:rPr>
          <w:rFonts w:ascii="Arial"/>
          <w:color w:val="BF5A14"/>
        </w:rPr>
        <w:t xml:space="preserve"> (150 word limit)</w:t>
      </w:r>
    </w:p>
    <w:p w:rsidR="006E773C" w:rsidRPr="006E773C" w:rsidRDefault="006E773C" w:rsidP="006E773C">
      <w:pPr>
        <w:pStyle w:val="BodyText"/>
        <w:rPr>
          <w:rFonts w:ascii="Arial"/>
          <w:sz w:val="14"/>
          <w:szCs w:val="14"/>
        </w:rPr>
      </w:pPr>
      <w:r w:rsidRPr="006E773C">
        <w:rPr>
          <w:rFonts w:ascii="Arial"/>
          <w:sz w:val="14"/>
          <w:szCs w:val="14"/>
        </w:rPr>
        <w:t xml:space="preserve">Joyce Oh </w:t>
      </w:r>
      <w:r>
        <w:rPr>
          <w:rFonts w:ascii="Arial"/>
          <w:sz w:val="14"/>
          <w:szCs w:val="14"/>
        </w:rPr>
        <w:t xml:space="preserve">is passionate in medicine and pharmaceutical research. She </w:t>
      </w:r>
      <w:r w:rsidRPr="006E773C">
        <w:rPr>
          <w:rFonts w:ascii="Arial"/>
          <w:sz w:val="14"/>
          <w:szCs w:val="14"/>
        </w:rPr>
        <w:t>has years of experience working in the pharmaceutical industry. She received her M.S. degree in Nutrition from Columbia University where she conducted research in children</w:t>
      </w:r>
      <w:r w:rsidRPr="006E773C">
        <w:rPr>
          <w:rFonts w:ascii="Arial"/>
          <w:sz w:val="14"/>
          <w:szCs w:val="14"/>
        </w:rPr>
        <w:t>’</w:t>
      </w:r>
      <w:r w:rsidRPr="006E773C">
        <w:rPr>
          <w:rFonts w:ascii="Arial"/>
          <w:sz w:val="14"/>
          <w:szCs w:val="14"/>
        </w:rPr>
        <w:t xml:space="preserve">s obesity, which was presented at the Annual Obesity Conference and published in Physiology &amp; Behavior. She is currently continuing her education in Doctor of Pharmacy at </w:t>
      </w:r>
      <w:proofErr w:type="spellStart"/>
      <w:r w:rsidRPr="006E773C">
        <w:rPr>
          <w:rFonts w:ascii="Arial"/>
          <w:sz w:val="14"/>
          <w:szCs w:val="14"/>
        </w:rPr>
        <w:t>Touro</w:t>
      </w:r>
      <w:proofErr w:type="spellEnd"/>
      <w:r w:rsidRPr="006E773C">
        <w:rPr>
          <w:rFonts w:ascii="Arial"/>
          <w:sz w:val="14"/>
          <w:szCs w:val="14"/>
        </w:rPr>
        <w:t xml:space="preserve"> College of Pharmacy.  </w:t>
      </w:r>
    </w:p>
    <w:p w:rsidR="006E773C" w:rsidRPr="006E773C" w:rsidRDefault="006E773C" w:rsidP="006E773C">
      <w:pPr>
        <w:pStyle w:val="BodyText"/>
        <w:rPr>
          <w:rFonts w:ascii="Arial"/>
          <w:sz w:val="14"/>
          <w:szCs w:val="14"/>
        </w:rPr>
      </w:pPr>
    </w:p>
    <w:p w:rsidR="006E773C" w:rsidRPr="006E773C" w:rsidRDefault="006E773C" w:rsidP="006E773C">
      <w:pPr>
        <w:pStyle w:val="BodyText"/>
        <w:rPr>
          <w:rFonts w:ascii="Arial"/>
          <w:sz w:val="14"/>
          <w:szCs w:val="14"/>
        </w:rPr>
      </w:pPr>
      <w:r w:rsidRPr="006E773C">
        <w:rPr>
          <w:rFonts w:ascii="Arial"/>
          <w:sz w:val="14"/>
          <w:szCs w:val="14"/>
        </w:rPr>
        <w:t xml:space="preserve">Email: </w:t>
      </w:r>
      <w:hyperlink r:id="rId10" w:history="1">
        <w:r w:rsidRPr="006E773C">
          <w:rPr>
            <w:rStyle w:val="Hyperlink"/>
            <w:rFonts w:ascii="Arial"/>
            <w:sz w:val="14"/>
            <w:szCs w:val="14"/>
          </w:rPr>
          <w:t>joyce.narae.oh@gmail.com</w:t>
        </w:r>
      </w:hyperlink>
    </w:p>
    <w:p w:rsidR="006E773C" w:rsidRPr="006E773C" w:rsidRDefault="006E773C" w:rsidP="006E773C">
      <w:pPr>
        <w:pStyle w:val="BodyText"/>
        <w:rPr>
          <w:rFonts w:ascii="Arial"/>
          <w:sz w:val="14"/>
          <w:szCs w:val="14"/>
        </w:rPr>
      </w:pPr>
      <w:r w:rsidRPr="006E773C">
        <w:rPr>
          <w:rFonts w:ascii="Arial"/>
          <w:sz w:val="14"/>
          <w:szCs w:val="14"/>
        </w:rPr>
        <w:t>Phone: +1-917-957-3066</w:t>
      </w:r>
    </w:p>
    <w:p w:rsidR="00E43F59" w:rsidRDefault="00E43F59">
      <w:pPr>
        <w:pStyle w:val="BodyText"/>
        <w:spacing w:before="2"/>
        <w:rPr>
          <w:rFonts w:ascii="Arial"/>
          <w:sz w:val="19"/>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2D88" w:rsidRDefault="002B2D88">
      <w:r>
        <w:separator/>
      </w:r>
    </w:p>
  </w:endnote>
  <w:endnote w:type="continuationSeparator" w:id="0">
    <w:p w:rsidR="002B2D88" w:rsidRDefault="002B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2D88" w:rsidRDefault="002B2D88">
      <w:r>
        <w:separator/>
      </w:r>
    </w:p>
  </w:footnote>
  <w:footnote w:type="continuationSeparator" w:id="0">
    <w:p w:rsidR="002B2D88" w:rsidRDefault="002B2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505BC"/>
    <w:multiLevelType w:val="hybridMultilevel"/>
    <w:tmpl w:val="D9D69996"/>
    <w:lvl w:ilvl="0" w:tplc="775A1FCE">
      <w:start w:val="1"/>
      <w:numFmt w:val="bullet"/>
      <w:pStyle w:val="BulletedList"/>
      <w:lvlText w:val=""/>
      <w:lvlJc w:val="left"/>
      <w:pPr>
        <w:tabs>
          <w:tab w:val="num" w:pos="360"/>
        </w:tabs>
        <w:ind w:left="360" w:hanging="360"/>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E464328"/>
    <w:multiLevelType w:val="hybridMultilevel"/>
    <w:tmpl w:val="D5C692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6533"/>
    <w:rsid w:val="000642C6"/>
    <w:rsid w:val="00065718"/>
    <w:rsid w:val="000C2B83"/>
    <w:rsid w:val="000E2911"/>
    <w:rsid w:val="001163B0"/>
    <w:rsid w:val="00123156"/>
    <w:rsid w:val="001263DF"/>
    <w:rsid w:val="002220FB"/>
    <w:rsid w:val="00265E2B"/>
    <w:rsid w:val="00292ED9"/>
    <w:rsid w:val="002B2D88"/>
    <w:rsid w:val="003F284E"/>
    <w:rsid w:val="00404E5B"/>
    <w:rsid w:val="00414F7B"/>
    <w:rsid w:val="004355DC"/>
    <w:rsid w:val="004749B4"/>
    <w:rsid w:val="00494130"/>
    <w:rsid w:val="004E02D8"/>
    <w:rsid w:val="004F3523"/>
    <w:rsid w:val="00544177"/>
    <w:rsid w:val="005973B9"/>
    <w:rsid w:val="005B3A56"/>
    <w:rsid w:val="006060CE"/>
    <w:rsid w:val="0063497F"/>
    <w:rsid w:val="006910C5"/>
    <w:rsid w:val="006E773C"/>
    <w:rsid w:val="0075335C"/>
    <w:rsid w:val="00807557"/>
    <w:rsid w:val="00827B1F"/>
    <w:rsid w:val="00873DF0"/>
    <w:rsid w:val="008756E6"/>
    <w:rsid w:val="009B2D44"/>
    <w:rsid w:val="00A07E82"/>
    <w:rsid w:val="00A9710C"/>
    <w:rsid w:val="00AD702B"/>
    <w:rsid w:val="00AE3E37"/>
    <w:rsid w:val="00B21A57"/>
    <w:rsid w:val="00C1353E"/>
    <w:rsid w:val="00C33602"/>
    <w:rsid w:val="00CC00DB"/>
    <w:rsid w:val="00CD6F55"/>
    <w:rsid w:val="00DE3104"/>
    <w:rsid w:val="00E029EB"/>
    <w:rsid w:val="00E43F59"/>
    <w:rsid w:val="00E54A6E"/>
    <w:rsid w:val="00E67D88"/>
    <w:rsid w:val="00EA6354"/>
    <w:rsid w:val="00F420E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00530"/>
  <w15:docId w15:val="{BA41B65A-3C7B-7B4C-B1E6-70CBB728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ulletedList">
    <w:name w:val="Bulleted List"/>
    <w:basedOn w:val="Normal"/>
    <w:rsid w:val="0075335C"/>
    <w:pPr>
      <w:widowControl/>
      <w:numPr>
        <w:numId w:val="5"/>
      </w:numPr>
      <w:autoSpaceDE w:val="0"/>
      <w:autoSpaceDN w:val="0"/>
      <w:adjustRightInd w:val="0"/>
      <w:spacing w:after="60"/>
      <w:jc w:val="both"/>
    </w:pPr>
    <w:rPr>
      <w:rFonts w:asciiTheme="majorHAnsi" w:eastAsia="Times New Roman" w:hAnsiTheme="majorHAnsi" w:cs="Times New Roman"/>
      <w:sz w:val="19"/>
      <w:szCs w:val="19"/>
    </w:rPr>
  </w:style>
  <w:style w:type="character" w:styleId="UnresolvedMention">
    <w:name w:val="Unresolved Mention"/>
    <w:basedOn w:val="DefaultParagraphFont"/>
    <w:uiPriority w:val="99"/>
    <w:semiHidden/>
    <w:unhideWhenUsed/>
    <w:rsid w:val="00E54A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yce.narae.oh@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ABC</cp:lastModifiedBy>
  <cp:revision>16</cp:revision>
  <dcterms:created xsi:type="dcterms:W3CDTF">2016-09-03T07:53:00Z</dcterms:created>
  <dcterms:modified xsi:type="dcterms:W3CDTF">2018-03-12T18:23:00Z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