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F050A" w:rsidP="00491AF4">
      <w:pPr>
        <w:pStyle w:val="Heading1"/>
        <w:spacing w:before="170"/>
        <w:ind w:left="0"/>
        <w:jc w:val="both"/>
      </w:pPr>
      <w:r>
        <w:rPr>
          <w:color w:val="337AB7"/>
        </w:rPr>
        <w:t xml:space="preserve">Association </w:t>
      </w:r>
      <w:r w:rsidR="003E36AC">
        <w:rPr>
          <w:color w:val="337AB7"/>
        </w:rPr>
        <w:t xml:space="preserve">of high sensitive C - reactive protein (hs-CRP) with the severity of the left ventricular systolic dysfunction in acute anterior ST elevation MI </w:t>
      </w:r>
      <w:r w:rsidRPr="00BF050A">
        <w:rPr>
          <w:color w:val="337AB7"/>
        </w:rPr>
        <w:t xml:space="preserve"> </w:t>
      </w:r>
    </w:p>
    <w:p w:rsidR="005973B9" w:rsidRDefault="003E36AC" w:rsidP="005973B9">
      <w:pPr>
        <w:pStyle w:val="BodyText"/>
        <w:spacing w:before="73" w:line="198" w:lineRule="exact"/>
        <w:ind w:left="100" w:right="5987"/>
        <w:rPr>
          <w:rFonts w:ascii="Arial"/>
        </w:rPr>
      </w:pPr>
      <w:r>
        <w:rPr>
          <w:rFonts w:ascii="Arial"/>
        </w:rPr>
        <w:t>Aparna Rahman</w:t>
      </w:r>
      <w:r w:rsidRPr="00BF050A">
        <w:rPr>
          <w:rFonts w:ascii="Arial"/>
        </w:rPr>
        <w:t>,</w:t>
      </w:r>
      <w:r w:rsidR="00BF050A" w:rsidRPr="00BF050A">
        <w:rPr>
          <w:rFonts w:ascii="Arial"/>
        </w:rPr>
        <w:t xml:space="preserve"> BIRDEM, Bangladesh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82DAB">
          <w:headerReference w:type="default" r:id="rId8"/>
          <w:footerReference w:type="default" r:id="rId9"/>
          <w:type w:val="continuous"/>
          <w:pgSz w:w="11910" w:h="16840"/>
          <w:pgMar w:top="1742" w:right="605" w:bottom="835" w:left="619" w:header="547" w:footer="648" w:gutter="0"/>
          <w:cols w:space="720"/>
        </w:sectPr>
      </w:pPr>
    </w:p>
    <w:p w:rsidR="00AE3E37" w:rsidRDefault="00A9710C" w:rsidP="001A0F70">
      <w:pPr>
        <w:pStyle w:val="Heading3"/>
        <w:spacing w:before="147"/>
        <w:ind w:left="101"/>
        <w:jc w:val="both"/>
      </w:pPr>
      <w:r>
        <w:rPr>
          <w:color w:val="BF5A14"/>
        </w:rPr>
        <w:lastRenderedPageBreak/>
        <w:t>Abstract</w:t>
      </w:r>
      <w:r w:rsidR="00BF050A">
        <w:rPr>
          <w:color w:val="BF5A14"/>
        </w:rPr>
        <w:t xml:space="preserve"> </w:t>
      </w:r>
    </w:p>
    <w:p w:rsidR="00AE3E37" w:rsidRDefault="00BF050A" w:rsidP="001A0F70">
      <w:pPr>
        <w:pStyle w:val="BodyText"/>
        <w:spacing w:before="90" w:line="281" w:lineRule="auto"/>
        <w:ind w:left="101"/>
        <w:jc w:val="both"/>
      </w:pPr>
      <w:r>
        <w:t xml:space="preserve">High </w:t>
      </w:r>
      <w:r w:rsidRPr="00BF050A">
        <w:t xml:space="preserve">Sensitive C-reactive protein (hs- CRP) is an established risk marker in coronary artery disease. It is a marker of inflammation activated early after Acute Myocardial Infarction (AMI) and its quantity depends upon extent of myocardial damage. </w:t>
      </w:r>
      <w:proofErr w:type="gramStart"/>
      <w:r w:rsidRPr="00BF050A">
        <w:t>Release of inflammatory marker leading to cardiac remodeling which clinically manifested as Heart failure (HF) which is a common complication after acute anterior myocardial infarction (AMI).</w:t>
      </w:r>
      <w:proofErr w:type="gramEnd"/>
      <w:r w:rsidRPr="00BF050A">
        <w:t xml:space="preserve"> The prevalence of post-infarct Left Ventricular Systolic Dysfunction (LVSD) ranges from 27 to 60 % and half of patients having early post-infarct LVSD subsequently develop chronic heart failure. The purpose of this study to show association between hs-CRP with LVSD in AMI and early detection of HF. Method</w:t>
      </w:r>
      <w:r w:rsidR="00366288">
        <w:t xml:space="preserve">ology &amp; Theoretical Orientation: </w:t>
      </w:r>
      <w:bookmarkStart w:id="0" w:name="_GoBack"/>
      <w:bookmarkEnd w:id="0"/>
      <w:r w:rsidRPr="00BF050A">
        <w:t>This is a cross-sectional analytical study in which hs-CRP was done among all the study subjects be</w:t>
      </w:r>
      <w:r w:rsidR="00366288">
        <w:t xml:space="preserve">tween 24-48 hours onset of AMI. </w:t>
      </w:r>
      <w:r w:rsidRPr="00BF050A">
        <w:t xml:space="preserve">The study populations were categorized into groups </w:t>
      </w:r>
      <w:proofErr w:type="gramStart"/>
      <w:r w:rsidRPr="00BF050A">
        <w:t>I</w:t>
      </w:r>
      <w:proofErr w:type="gramEnd"/>
      <w:r w:rsidRPr="00BF050A">
        <w:t>, II, II according to the lowest to highest hs-CRP level. Transthoracic echocardiography was done between 24-48 hours of anterior ST Elevation Myocardial Infarction (STEMI) .Then LVSD was assessed between those groups and searched for association. Findings: Severely reduced ejection fraction (EF) was found in patients of group III only. Severe and moderately reduced in EF was found significantly more in group III and II than group I (p&lt;0.0</w:t>
      </w:r>
      <w:r w:rsidR="00366288">
        <w:t>01) Conclusion &amp; Significance: H</w:t>
      </w:r>
      <w:r w:rsidRPr="00BF050A">
        <w:t>igh level of hs-CRP in patient of acute anterior STEMI patients is associated with moderate to severe reduction in EF and Fractional Shortening (FS).  So hs- CRP can be a prognostic marker in acute anterior STEMI complicating LVSD and early management   can improve the short and long term prognosis</w:t>
      </w:r>
    </w:p>
    <w:p w:rsidR="00AE3E37" w:rsidRDefault="00A9710C">
      <w:pPr>
        <w:pStyle w:val="Heading3"/>
        <w:spacing w:before="74"/>
      </w:pPr>
      <w:r>
        <w:rPr>
          <w:b w:val="0"/>
        </w:rPr>
        <w:br w:type="column"/>
      </w:r>
      <w:r>
        <w:rPr>
          <w:color w:val="BF5A14"/>
        </w:rPr>
        <w:lastRenderedPageBreak/>
        <w:t>Image</w:t>
      </w:r>
    </w:p>
    <w:p w:rsidR="000063B3" w:rsidRDefault="00BF050A" w:rsidP="000063B3">
      <w:pPr>
        <w:pStyle w:val="BodyText"/>
        <w:spacing w:before="2"/>
        <w:rPr>
          <w:rFonts w:ascii="Arial"/>
          <w:b/>
          <w:sz w:val="16"/>
        </w:rPr>
      </w:pPr>
      <w:r>
        <w:rPr>
          <w:rFonts w:ascii="Arial"/>
          <w:b/>
          <w:sz w:val="16"/>
        </w:rPr>
        <w:t xml:space="preserve">  </w:t>
      </w:r>
      <w:r w:rsidR="00491AF4">
        <w:rPr>
          <w:rFonts w:ascii="Arial"/>
          <w:b/>
          <w:sz w:val="16"/>
        </w:rPr>
        <w:t xml:space="preserve">  </w:t>
      </w:r>
      <w:r w:rsidR="000063B3">
        <w:rPr>
          <w:rFonts w:ascii="Arial"/>
          <w:b/>
          <w:sz w:val="16"/>
        </w:rPr>
        <w:t xml:space="preserve"> </w:t>
      </w:r>
      <w:r w:rsidR="000063B3" w:rsidRPr="000C7E69">
        <w:rPr>
          <w:b/>
          <w:bCs/>
          <w:noProof/>
          <w:color w:val="000000"/>
          <w:sz w:val="24"/>
        </w:rPr>
        <w:drawing>
          <wp:inline distT="0" distB="0" distL="0" distR="0" wp14:anchorId="4FA387C6" wp14:editId="4F9CAA05">
            <wp:extent cx="2767913" cy="1408671"/>
            <wp:effectExtent l="0" t="0" r="13970" b="2032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063B3" w:rsidRPr="000063B3" w:rsidRDefault="000063B3" w:rsidP="000063B3">
      <w:pPr>
        <w:pStyle w:val="BodyText"/>
        <w:spacing w:before="2"/>
        <w:rPr>
          <w:rFonts w:ascii="Arial"/>
          <w:b/>
          <w:sz w:val="16"/>
        </w:rPr>
      </w:pPr>
      <w:r>
        <w:rPr>
          <w:rFonts w:ascii="Arial"/>
          <w:b/>
          <w:sz w:val="16"/>
        </w:rPr>
        <w:t xml:space="preserve">   </w:t>
      </w:r>
      <w:r>
        <w:rPr>
          <w:rFonts w:eastAsia="Times New Roman" w:cs="Vrinda"/>
          <w:bCs/>
          <w:color w:val="000000"/>
          <w:lang w:bidi="bn-BD"/>
        </w:rPr>
        <w:t>Figure-1</w:t>
      </w:r>
      <w:r w:rsidRPr="00135738">
        <w:rPr>
          <w:rFonts w:eastAsia="Times New Roman" w:cs="Vrinda"/>
          <w:bCs/>
          <w:color w:val="000000"/>
          <w:lang w:bidi="bn-BD"/>
        </w:rPr>
        <w:t>: Mean plot of EF (%) and FS (%)</w:t>
      </w:r>
      <w:r>
        <w:rPr>
          <w:rFonts w:ascii="Arial" w:eastAsia="Calibri" w:hAnsi="Arial" w:cs="Arial"/>
          <w:color w:val="000000"/>
          <w:lang w:bidi="bn-BD"/>
        </w:rPr>
        <w:t xml:space="preserve"> </w:t>
      </w:r>
      <w:r>
        <w:rPr>
          <w:rFonts w:eastAsia="Times New Roman" w:cs="Vrinda"/>
          <w:bCs/>
          <w:color w:val="000000"/>
          <w:lang w:bidi="bn-BD"/>
        </w:rPr>
        <w:t xml:space="preserve">showing their </w:t>
      </w:r>
    </w:p>
    <w:p w:rsidR="000063B3" w:rsidRDefault="000063B3" w:rsidP="000063B3">
      <w:pPr>
        <w:autoSpaceDE w:val="0"/>
        <w:autoSpaceDN w:val="0"/>
        <w:adjustRightInd w:val="0"/>
        <w:spacing w:line="281" w:lineRule="auto"/>
        <w:jc w:val="both"/>
        <w:rPr>
          <w:rFonts w:eastAsia="Times New Roman" w:cs="Vrinda"/>
          <w:bCs/>
          <w:color w:val="000000"/>
          <w:sz w:val="18"/>
          <w:szCs w:val="18"/>
          <w:lang w:bidi="bn-BD"/>
        </w:rPr>
      </w:pPr>
      <w:r>
        <w:rPr>
          <w:rFonts w:eastAsia="Times New Roman" w:cs="Vrinda"/>
          <w:bCs/>
          <w:color w:val="000000"/>
          <w:sz w:val="18"/>
          <w:szCs w:val="18"/>
          <w:lang w:bidi="bn-BD"/>
        </w:rPr>
        <w:t xml:space="preserve">  </w:t>
      </w:r>
      <w:r w:rsidR="00491AF4">
        <w:rPr>
          <w:rFonts w:eastAsia="Times New Roman" w:cs="Vrinda"/>
          <w:bCs/>
          <w:color w:val="000000"/>
          <w:sz w:val="18"/>
          <w:szCs w:val="18"/>
          <w:lang w:bidi="bn-BD"/>
        </w:rPr>
        <w:t xml:space="preserve"> </w:t>
      </w:r>
      <w:proofErr w:type="gramStart"/>
      <w:r>
        <w:rPr>
          <w:rFonts w:eastAsia="Times New Roman" w:cs="Vrinda"/>
          <w:bCs/>
          <w:color w:val="000000"/>
          <w:sz w:val="18"/>
          <w:szCs w:val="18"/>
          <w:lang w:bidi="bn-BD"/>
        </w:rPr>
        <w:t>association</w:t>
      </w:r>
      <w:proofErr w:type="gramEnd"/>
      <w:r>
        <w:rPr>
          <w:rFonts w:eastAsia="Times New Roman" w:cs="Vrinda"/>
          <w:bCs/>
          <w:color w:val="000000"/>
          <w:sz w:val="18"/>
          <w:szCs w:val="18"/>
          <w:lang w:bidi="bn-BD"/>
        </w:rPr>
        <w:t xml:space="preserve"> with hs-CRP  in different group.</w:t>
      </w:r>
    </w:p>
    <w:p w:rsidR="005973B9" w:rsidRDefault="00BF050A" w:rsidP="00204673">
      <w:pPr>
        <w:spacing w:line="204" w:lineRule="exact"/>
        <w:rPr>
          <w:rFonts w:ascii="Arial"/>
          <w:b/>
          <w:sz w:val="20"/>
        </w:rPr>
      </w:pPr>
      <w:r>
        <w:rPr>
          <w:rFonts w:ascii="Arial"/>
          <w:b/>
          <w:color w:val="BF5A14"/>
          <w:sz w:val="20"/>
        </w:rPr>
        <w:br/>
      </w:r>
      <w:r w:rsidR="000063B3">
        <w:rPr>
          <w:rFonts w:ascii="Arial"/>
          <w:b/>
          <w:color w:val="BF5A14"/>
          <w:sz w:val="20"/>
        </w:rPr>
        <w:t xml:space="preserve"> </w:t>
      </w:r>
      <w:r>
        <w:rPr>
          <w:rFonts w:ascii="Arial"/>
          <w:b/>
          <w:color w:val="BF5A14"/>
          <w:sz w:val="20"/>
        </w:rPr>
        <w:t xml:space="preserve">Recent Publications </w:t>
      </w:r>
    </w:p>
    <w:p w:rsidR="00BF050A" w:rsidRPr="00BF050A" w:rsidRDefault="00BF050A" w:rsidP="00BF050A">
      <w:pPr>
        <w:pStyle w:val="ListParagraph"/>
        <w:numPr>
          <w:ilvl w:val="0"/>
          <w:numId w:val="3"/>
        </w:numPr>
        <w:rPr>
          <w:sz w:val="18"/>
        </w:rPr>
      </w:pPr>
      <w:proofErr w:type="spellStart"/>
      <w:r w:rsidRPr="00BF050A">
        <w:rPr>
          <w:sz w:val="18"/>
        </w:rPr>
        <w:t>Hellermann</w:t>
      </w:r>
      <w:proofErr w:type="spellEnd"/>
      <w:r w:rsidRPr="00BF050A">
        <w:rPr>
          <w:sz w:val="18"/>
        </w:rPr>
        <w:t xml:space="preserve"> JP, </w:t>
      </w:r>
      <w:proofErr w:type="spellStart"/>
      <w:r w:rsidRPr="00BF050A">
        <w:rPr>
          <w:sz w:val="18"/>
        </w:rPr>
        <w:t>Goraya</w:t>
      </w:r>
      <w:proofErr w:type="spellEnd"/>
      <w:r w:rsidRPr="00BF050A">
        <w:rPr>
          <w:sz w:val="18"/>
        </w:rPr>
        <w:t xml:space="preserve"> TY (2003) Incidence of heart failure after myocardial infarction: is it changing over time? American Journal of Epidemiology. 157:1101–1107.</w:t>
      </w:r>
    </w:p>
    <w:p w:rsidR="00BF050A" w:rsidRPr="00BF050A" w:rsidRDefault="00BF050A" w:rsidP="00BF050A">
      <w:pPr>
        <w:pStyle w:val="ListParagraph"/>
        <w:numPr>
          <w:ilvl w:val="0"/>
          <w:numId w:val="3"/>
        </w:numPr>
        <w:rPr>
          <w:sz w:val="18"/>
        </w:rPr>
      </w:pPr>
      <w:r w:rsidRPr="00BF050A">
        <w:rPr>
          <w:sz w:val="18"/>
        </w:rPr>
        <w:t>Weir</w:t>
      </w:r>
      <w:r w:rsidR="00A005ED">
        <w:rPr>
          <w:sz w:val="18"/>
        </w:rPr>
        <w:t xml:space="preserve"> RA, McMurray JJ, Velazquez EJ </w:t>
      </w:r>
      <w:r w:rsidRPr="00BF050A">
        <w:rPr>
          <w:sz w:val="18"/>
        </w:rPr>
        <w:t>(2006)</w:t>
      </w:r>
      <w:r w:rsidR="00A005ED" w:rsidRPr="00BF050A">
        <w:rPr>
          <w:sz w:val="18"/>
        </w:rPr>
        <w:t xml:space="preserve"> Epidemiology</w:t>
      </w:r>
      <w:r w:rsidRPr="00BF050A">
        <w:rPr>
          <w:sz w:val="18"/>
        </w:rPr>
        <w:t xml:space="preserve"> of heart failure and left ventricular systolic dysfunction after acute myocardial infarction: prevalence, clinical characteristics, and prognostic importance. American Journal of Cardiology. 97: 13-25. </w:t>
      </w:r>
    </w:p>
    <w:p w:rsidR="00BF050A" w:rsidRPr="00BF050A" w:rsidRDefault="00BF050A" w:rsidP="00BF050A">
      <w:pPr>
        <w:pStyle w:val="ListParagraph"/>
        <w:numPr>
          <w:ilvl w:val="0"/>
          <w:numId w:val="3"/>
        </w:numPr>
        <w:rPr>
          <w:sz w:val="18"/>
        </w:rPr>
      </w:pPr>
      <w:r w:rsidRPr="00BF050A">
        <w:rPr>
          <w:sz w:val="18"/>
        </w:rPr>
        <w:t>Clelan</w:t>
      </w:r>
      <w:r w:rsidR="00A005ED">
        <w:rPr>
          <w:sz w:val="18"/>
        </w:rPr>
        <w:t xml:space="preserve">d JG, </w:t>
      </w:r>
      <w:proofErr w:type="spellStart"/>
      <w:r w:rsidR="00A005ED">
        <w:rPr>
          <w:sz w:val="18"/>
        </w:rPr>
        <w:t>Torabi</w:t>
      </w:r>
      <w:proofErr w:type="spellEnd"/>
      <w:r w:rsidR="00A005ED">
        <w:rPr>
          <w:sz w:val="18"/>
        </w:rPr>
        <w:t xml:space="preserve"> A, Khan NK (2005) </w:t>
      </w:r>
      <w:r w:rsidRPr="00BF050A">
        <w:rPr>
          <w:sz w:val="18"/>
        </w:rPr>
        <w:t>Epidemiology and Management of Heart Failure and Left Ventricular Systolic Dysfunction in the Aftermath of a Myocardial Infarction. Heart.  91:17–13.</w:t>
      </w:r>
    </w:p>
    <w:p w:rsidR="00BF050A" w:rsidRPr="00BF050A" w:rsidRDefault="00BF050A" w:rsidP="00BF050A">
      <w:pPr>
        <w:pStyle w:val="ListParagraph"/>
        <w:numPr>
          <w:ilvl w:val="0"/>
          <w:numId w:val="3"/>
        </w:numPr>
        <w:rPr>
          <w:sz w:val="18"/>
        </w:rPr>
      </w:pPr>
      <w:r w:rsidRPr="00BF050A">
        <w:rPr>
          <w:sz w:val="18"/>
        </w:rPr>
        <w:t xml:space="preserve">Gabriel AS, </w:t>
      </w:r>
      <w:proofErr w:type="spellStart"/>
      <w:r w:rsidRPr="00BF050A">
        <w:rPr>
          <w:sz w:val="18"/>
        </w:rPr>
        <w:t>Martinsson</w:t>
      </w:r>
      <w:proofErr w:type="spellEnd"/>
      <w:r w:rsidRPr="00BF050A">
        <w:rPr>
          <w:sz w:val="18"/>
        </w:rPr>
        <w:t xml:space="preserve"> A, </w:t>
      </w:r>
      <w:proofErr w:type="spellStart"/>
      <w:r w:rsidRPr="00BF050A">
        <w:rPr>
          <w:sz w:val="18"/>
        </w:rPr>
        <w:t>Wret</w:t>
      </w:r>
      <w:r w:rsidR="00A005ED">
        <w:rPr>
          <w:sz w:val="18"/>
        </w:rPr>
        <w:t>lind</w:t>
      </w:r>
      <w:proofErr w:type="spellEnd"/>
      <w:r w:rsidR="00A005ED">
        <w:rPr>
          <w:sz w:val="18"/>
        </w:rPr>
        <w:t xml:space="preserve"> B, </w:t>
      </w:r>
      <w:proofErr w:type="spellStart"/>
      <w:r w:rsidR="00A005ED">
        <w:rPr>
          <w:sz w:val="18"/>
        </w:rPr>
        <w:t>Ahnve</w:t>
      </w:r>
      <w:proofErr w:type="spellEnd"/>
      <w:r w:rsidR="00A005ED">
        <w:rPr>
          <w:sz w:val="18"/>
        </w:rPr>
        <w:t xml:space="preserve"> S </w:t>
      </w:r>
      <w:r w:rsidRPr="00BF050A">
        <w:rPr>
          <w:sz w:val="18"/>
        </w:rPr>
        <w:t>(2004) IL-6 levels in acute and post myocardial infarction: their relation to CRP levels, infarction size, left ventricular systolic function, and heart failure. European Journal of Internal Medicine. 15: 523–528.</w:t>
      </w:r>
    </w:p>
    <w:p w:rsidR="00BF050A" w:rsidRPr="00BF050A" w:rsidRDefault="00BF050A" w:rsidP="00BF050A">
      <w:pPr>
        <w:pStyle w:val="ListParagraph"/>
        <w:numPr>
          <w:ilvl w:val="0"/>
          <w:numId w:val="3"/>
        </w:numPr>
        <w:rPr>
          <w:sz w:val="18"/>
        </w:rPr>
      </w:pPr>
      <w:proofErr w:type="spellStart"/>
      <w:r w:rsidRPr="00BF050A">
        <w:rPr>
          <w:sz w:val="18"/>
        </w:rPr>
        <w:t>Bursi</w:t>
      </w:r>
      <w:proofErr w:type="spellEnd"/>
      <w:r w:rsidRPr="00BF050A">
        <w:rPr>
          <w:sz w:val="18"/>
        </w:rPr>
        <w:t xml:space="preserve"> F, Weston SA, Killian JM, Gab</w:t>
      </w:r>
      <w:r w:rsidR="00A005ED">
        <w:rPr>
          <w:sz w:val="18"/>
        </w:rPr>
        <w:t xml:space="preserve">riel SE, Jacobsen SJ, Roger VL </w:t>
      </w:r>
      <w:r w:rsidRPr="00BF050A">
        <w:rPr>
          <w:sz w:val="18"/>
        </w:rPr>
        <w:t>(2007) C-reactive protein and heart failure after myocardial infarction in the community. American Journal of Medicine.120:616–622.</w:t>
      </w:r>
    </w:p>
    <w:p w:rsidR="00AE3E37" w:rsidRPr="000063B3" w:rsidRDefault="000063B3" w:rsidP="000063B3">
      <w:pPr>
        <w:pStyle w:val="ListParagraph"/>
        <w:numPr>
          <w:ilvl w:val="0"/>
          <w:numId w:val="3"/>
        </w:numPr>
        <w:rPr>
          <w:sz w:val="18"/>
        </w:rPr>
        <w:sectPr w:rsidR="00AE3E37" w:rsidRPr="000063B3">
          <w:type w:val="continuous"/>
          <w:pgSz w:w="11910" w:h="16840"/>
          <w:pgMar w:top="1740" w:right="600" w:bottom="840" w:left="620" w:header="720" w:footer="720" w:gutter="0"/>
          <w:cols w:num="2" w:space="720" w:equalWidth="0">
            <w:col w:w="5214" w:space="138"/>
            <w:col w:w="5338"/>
          </w:cols>
        </w:sectPr>
      </w:pPr>
      <w:proofErr w:type="spellStart"/>
      <w:r w:rsidRPr="000063B3">
        <w:rPr>
          <w:sz w:val="18"/>
        </w:rPr>
        <w:t>Anzai</w:t>
      </w:r>
      <w:proofErr w:type="spellEnd"/>
      <w:r w:rsidRPr="000063B3">
        <w:rPr>
          <w:sz w:val="18"/>
        </w:rPr>
        <w:t xml:space="preserve"> T, Yoshikawa T, </w:t>
      </w:r>
      <w:proofErr w:type="spellStart"/>
      <w:r w:rsidR="00A005ED">
        <w:rPr>
          <w:sz w:val="18"/>
        </w:rPr>
        <w:t>Shiraki</w:t>
      </w:r>
      <w:proofErr w:type="spellEnd"/>
      <w:r w:rsidR="00A005ED">
        <w:rPr>
          <w:sz w:val="18"/>
        </w:rPr>
        <w:t xml:space="preserve"> H, </w:t>
      </w:r>
      <w:proofErr w:type="spellStart"/>
      <w:r w:rsidR="00A005ED">
        <w:rPr>
          <w:sz w:val="18"/>
        </w:rPr>
        <w:t>Asakura</w:t>
      </w:r>
      <w:proofErr w:type="spellEnd"/>
      <w:r w:rsidR="00A005ED">
        <w:rPr>
          <w:sz w:val="18"/>
        </w:rPr>
        <w:t xml:space="preserve"> Y, Akaishi M </w:t>
      </w:r>
      <w:r w:rsidRPr="000063B3">
        <w:rPr>
          <w:sz w:val="18"/>
        </w:rPr>
        <w:t>(1</w:t>
      </w:r>
      <w:r w:rsidR="00A005ED">
        <w:rPr>
          <w:sz w:val="18"/>
        </w:rPr>
        <w:t xml:space="preserve">997) </w:t>
      </w:r>
      <w:r w:rsidRPr="000063B3">
        <w:rPr>
          <w:sz w:val="18"/>
        </w:rPr>
        <w:t xml:space="preserve">C-reactive protein as a predictor of infarct expansion and cardiac rupture after a first Q-wave acute myocardial infarction. </w:t>
      </w:r>
      <w:r w:rsidR="00A005ED" w:rsidRPr="000063B3">
        <w:rPr>
          <w:sz w:val="18"/>
        </w:rPr>
        <w:t>Circulation 96:778</w:t>
      </w:r>
      <w:r w:rsidRPr="000063B3">
        <w:rPr>
          <w:sz w:val="18"/>
        </w:rPr>
        <w:t>–784.</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4274E4F" wp14:editId="02F4165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063B3">
        <w:rPr>
          <w:noProof/>
        </w:rPr>
        <w:drawing>
          <wp:inline distT="0" distB="0" distL="0" distR="0" wp14:anchorId="528C2718">
            <wp:extent cx="607161" cy="696185"/>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990" cy="698282"/>
                    </a:xfrm>
                    <a:prstGeom prst="rect">
                      <a:avLst/>
                    </a:prstGeom>
                    <a:noFill/>
                  </pic:spPr>
                </pic:pic>
              </a:graphicData>
            </a:graphic>
          </wp:inline>
        </w:drawing>
      </w:r>
      <w:r w:rsidR="000642C6">
        <w:rPr>
          <w:noProof/>
        </w:rPr>
        <w:t xml:space="preserve">    </w:t>
      </w:r>
      <w:r w:rsidR="00A9710C">
        <w:rPr>
          <w:rFonts w:ascii="Arial"/>
          <w:color w:val="BF5A14"/>
        </w:rPr>
        <w:t>Biography</w:t>
      </w:r>
      <w:r w:rsidR="000063B3">
        <w:rPr>
          <w:rFonts w:ascii="Arial"/>
          <w:color w:val="BF5A14"/>
        </w:rPr>
        <w:t xml:space="preserve"> </w:t>
      </w:r>
    </w:p>
    <w:p w:rsidR="00AE3E37" w:rsidRDefault="000063B3">
      <w:pPr>
        <w:spacing w:before="41" w:line="154" w:lineRule="exact"/>
        <w:ind w:left="213" w:right="231"/>
        <w:jc w:val="both"/>
        <w:rPr>
          <w:rFonts w:ascii="Arial"/>
          <w:sz w:val="14"/>
        </w:rPr>
      </w:pPr>
      <w:r w:rsidRPr="000063B3">
        <w:rPr>
          <w:rFonts w:ascii="Arial"/>
          <w:sz w:val="14"/>
        </w:rPr>
        <w:t>Aparna Rahman has done her expertise in cardiac cases evaluation and passion in improving the health and wellbeing of general population She completed her MD course in cardiology from Dhaka University. She has been serving as a physician in Bangladesh Institute of Research</w:t>
      </w:r>
      <w:r w:rsidR="003E36AC">
        <w:rPr>
          <w:rFonts w:ascii="Arial"/>
          <w:sz w:val="14"/>
        </w:rPr>
        <w:t xml:space="preserve"> &amp; Rehabilitation for </w:t>
      </w:r>
      <w:r w:rsidRPr="000063B3">
        <w:rPr>
          <w:rFonts w:ascii="Arial"/>
          <w:sz w:val="14"/>
        </w:rPr>
        <w:t>Diabetes</w:t>
      </w:r>
      <w:r w:rsidR="003E36AC">
        <w:rPr>
          <w:rFonts w:ascii="Arial"/>
          <w:sz w:val="14"/>
        </w:rPr>
        <w:t>, Endocrine and Metabolic disorders</w:t>
      </w:r>
      <w:r w:rsidRPr="000063B3">
        <w:rPr>
          <w:rFonts w:ascii="Arial"/>
          <w:sz w:val="14"/>
        </w:rPr>
        <w:t xml:space="preserve"> (BIRDEM) General Hospital for a long time. She is connected with medical educations, research and publications .This approach is responsive to all stakeholders and has a different way of focusing.</w:t>
      </w:r>
    </w:p>
    <w:p w:rsidR="00AE3E37" w:rsidRDefault="000063B3">
      <w:pPr>
        <w:spacing w:before="62"/>
        <w:ind w:left="4217" w:right="4235"/>
        <w:jc w:val="center"/>
        <w:rPr>
          <w:rStyle w:val="Hyperlink"/>
          <w:rFonts w:ascii="Arial"/>
          <w:sz w:val="14"/>
        </w:rPr>
      </w:pPr>
      <w:r>
        <w:rPr>
          <w:rFonts w:ascii="Arial"/>
          <w:sz w:val="14"/>
        </w:rPr>
        <w:t>Email:</w:t>
      </w:r>
      <w:r w:rsidRPr="000063B3">
        <w:rPr>
          <w:rStyle w:val="Hyperlink"/>
          <w:rFonts w:ascii="Arial"/>
          <w:sz w:val="14"/>
        </w:rPr>
        <w:t>aparnadr28@gmail.com</w:t>
      </w:r>
    </w:p>
    <w:p w:rsidR="00AE3E37" w:rsidRPr="000063B3" w:rsidRDefault="003E36AC" w:rsidP="003E36AC">
      <w:pPr>
        <w:spacing w:before="62"/>
        <w:ind w:left="4217" w:right="4235"/>
        <w:rPr>
          <w:rFonts w:ascii="Arial"/>
          <w:sz w:val="14"/>
        </w:rPr>
      </w:pPr>
      <w:r>
        <w:rPr>
          <w:rStyle w:val="Hyperlink"/>
          <w:rFonts w:ascii="Arial"/>
          <w:color w:val="auto"/>
          <w:sz w:val="14"/>
          <w:u w:val="none"/>
        </w:rPr>
        <w:t xml:space="preserve">   Phone:</w:t>
      </w:r>
      <w:r w:rsidRPr="000063B3">
        <w:rPr>
          <w:rFonts w:ascii="Arial"/>
          <w:sz w:val="14"/>
        </w:rPr>
        <w:t xml:space="preserve"> +</w:t>
      </w:r>
      <w:r w:rsidR="000063B3" w:rsidRPr="000063B3">
        <w:rPr>
          <w:rFonts w:ascii="Arial"/>
          <w:sz w:val="14"/>
        </w:rPr>
        <w:t>88</w:t>
      </w:r>
      <w:r w:rsidR="000063B3">
        <w:rPr>
          <w:rFonts w:ascii="Arial"/>
          <w:sz w:val="14"/>
        </w:rPr>
        <w:t>-01711709243</w:t>
      </w:r>
      <w:r w:rsidR="00292ED9">
        <w:rPr>
          <w:noProof/>
        </w:rPr>
        <mc:AlternateContent>
          <mc:Choice Requires="wps">
            <w:drawing>
              <wp:anchor distT="0" distB="0" distL="0" distR="0" simplePos="0" relativeHeight="1072" behindDoc="0" locked="0" layoutInCell="1" allowOverlap="1" wp14:anchorId="661D6FBC" wp14:editId="12545C9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0063B3">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892" w:rsidRDefault="009D2892">
      <w:r>
        <w:separator/>
      </w:r>
    </w:p>
  </w:endnote>
  <w:endnote w:type="continuationSeparator" w:id="0">
    <w:p w:rsidR="009D2892" w:rsidRDefault="009D2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Vrinda">
    <w:panose1 w:val="00000400000000000000"/>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D598BEB" wp14:editId="5F597E9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75AB7AF" wp14:editId="3E4570F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0B9D02" wp14:editId="1D9311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892" w:rsidRDefault="009D2892">
      <w:r>
        <w:separator/>
      </w:r>
    </w:p>
  </w:footnote>
  <w:footnote w:type="continuationSeparator" w:id="0">
    <w:p w:rsidR="009D2892" w:rsidRDefault="009D28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DFC7B40" wp14:editId="6A111B8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3B3"/>
    <w:rsid w:val="000642C6"/>
    <w:rsid w:val="00065718"/>
    <w:rsid w:val="000E2911"/>
    <w:rsid w:val="00123156"/>
    <w:rsid w:val="001263DF"/>
    <w:rsid w:val="001A0F70"/>
    <w:rsid w:val="00204673"/>
    <w:rsid w:val="002220FB"/>
    <w:rsid w:val="00292ED9"/>
    <w:rsid w:val="002C276D"/>
    <w:rsid w:val="0032373A"/>
    <w:rsid w:val="00366288"/>
    <w:rsid w:val="003E36AC"/>
    <w:rsid w:val="00404E5B"/>
    <w:rsid w:val="00414F7B"/>
    <w:rsid w:val="004355DC"/>
    <w:rsid w:val="004749B4"/>
    <w:rsid w:val="00482DAB"/>
    <w:rsid w:val="00491AF4"/>
    <w:rsid w:val="00494130"/>
    <w:rsid w:val="004F3523"/>
    <w:rsid w:val="00544177"/>
    <w:rsid w:val="005973B9"/>
    <w:rsid w:val="005B3A56"/>
    <w:rsid w:val="006060CE"/>
    <w:rsid w:val="0063497F"/>
    <w:rsid w:val="006910C5"/>
    <w:rsid w:val="00827B1F"/>
    <w:rsid w:val="00873DF0"/>
    <w:rsid w:val="008756E6"/>
    <w:rsid w:val="009B2D44"/>
    <w:rsid w:val="009D2892"/>
    <w:rsid w:val="00A005ED"/>
    <w:rsid w:val="00A07E82"/>
    <w:rsid w:val="00A9710C"/>
    <w:rsid w:val="00AE3E37"/>
    <w:rsid w:val="00B1062C"/>
    <w:rsid w:val="00B21A57"/>
    <w:rsid w:val="00BF050A"/>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658151509687244"/>
          <c:y val="0.13477814619791278"/>
          <c:w val="0.81252789966139727"/>
          <c:h val="0.64244097060556093"/>
        </c:manualLayout>
      </c:layout>
      <c:lineChart>
        <c:grouping val="standard"/>
        <c:varyColors val="0"/>
        <c:ser>
          <c:idx val="0"/>
          <c:order val="0"/>
          <c:tx>
            <c:strRef>
              <c:f>Sheet1!$F$17</c:f>
              <c:strCache>
                <c:ptCount val="1"/>
                <c:pt idx="0">
                  <c:v>EF (%)</c:v>
                </c:pt>
              </c:strCache>
            </c:strRef>
          </c:tx>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Sheet1!$G$16:$I$16</c:f>
              <c:strCache>
                <c:ptCount val="3"/>
                <c:pt idx="0">
                  <c:v>Group I</c:v>
                </c:pt>
                <c:pt idx="1">
                  <c:v>Group II</c:v>
                </c:pt>
                <c:pt idx="2">
                  <c:v>Group III</c:v>
                </c:pt>
              </c:strCache>
            </c:strRef>
          </c:cat>
          <c:val>
            <c:numRef>
              <c:f>Sheet1!$G$17:$I$17</c:f>
              <c:numCache>
                <c:formatCode>General</c:formatCode>
                <c:ptCount val="3"/>
                <c:pt idx="0">
                  <c:v>49.48</c:v>
                </c:pt>
                <c:pt idx="1">
                  <c:v>39.5</c:v>
                </c:pt>
                <c:pt idx="2">
                  <c:v>30.41</c:v>
                </c:pt>
              </c:numCache>
            </c:numRef>
          </c:val>
          <c:smooth val="0"/>
          <c:extLst xmlns:c16r2="http://schemas.microsoft.com/office/drawing/2015/06/chart">
            <c:ext xmlns:c16="http://schemas.microsoft.com/office/drawing/2014/chart" uri="{C3380CC4-5D6E-409C-BE32-E72D297353CC}">
              <c16:uniqueId val="{00000000-B06A-4D6C-A421-4CD2AE1425E1}"/>
            </c:ext>
          </c:extLst>
        </c:ser>
        <c:ser>
          <c:idx val="1"/>
          <c:order val="1"/>
          <c:tx>
            <c:strRef>
              <c:f>Sheet1!$F$18</c:f>
              <c:strCache>
                <c:ptCount val="1"/>
                <c:pt idx="0">
                  <c:v>FS (%)</c:v>
                </c:pt>
              </c:strCache>
            </c:strRef>
          </c:tx>
          <c:dLbls>
            <c:dLbl>
              <c:idx val="0"/>
              <c:layout>
                <c:manualLayout>
                  <c:x val="-5.5555555555555775E-3"/>
                  <c:y val="-5.55555555555554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06A-4D6C-A421-4CD2AE1425E1}"/>
                </c:ext>
                <c:ext xmlns:c15="http://schemas.microsoft.com/office/drawing/2012/chart" uri="{CE6537A1-D6FC-4f65-9D91-7224C49458BB}">
                  <c15:layout/>
                </c:ext>
              </c:extLst>
            </c:dLbl>
            <c:dLbl>
              <c:idx val="1"/>
              <c:layout>
                <c:manualLayout>
                  <c:x val="0"/>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06A-4D6C-A421-4CD2AE1425E1}"/>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Sheet1!$G$16:$I$16</c:f>
              <c:strCache>
                <c:ptCount val="3"/>
                <c:pt idx="0">
                  <c:v>Group I</c:v>
                </c:pt>
                <c:pt idx="1">
                  <c:v>Group II</c:v>
                </c:pt>
                <c:pt idx="2">
                  <c:v>Group III</c:v>
                </c:pt>
              </c:strCache>
            </c:strRef>
          </c:cat>
          <c:val>
            <c:numRef>
              <c:f>Sheet1!$G$18:$I$18</c:f>
              <c:numCache>
                <c:formatCode>General</c:formatCode>
                <c:ptCount val="3"/>
                <c:pt idx="0">
                  <c:v>23.959999999999987</c:v>
                </c:pt>
                <c:pt idx="1">
                  <c:v>19.559999999999999</c:v>
                </c:pt>
                <c:pt idx="2">
                  <c:v>16.130000000000031</c:v>
                </c:pt>
              </c:numCache>
            </c:numRef>
          </c:val>
          <c:smooth val="0"/>
          <c:extLst xmlns:c16r2="http://schemas.microsoft.com/office/drawing/2015/06/chart">
            <c:ext xmlns:c16="http://schemas.microsoft.com/office/drawing/2014/chart" uri="{C3380CC4-5D6E-409C-BE32-E72D297353CC}">
              <c16:uniqueId val="{00000003-B06A-4D6C-A421-4CD2AE1425E1}"/>
            </c:ext>
          </c:extLst>
        </c:ser>
        <c:dLbls>
          <c:showLegendKey val="0"/>
          <c:showVal val="0"/>
          <c:showCatName val="0"/>
          <c:showSerName val="0"/>
          <c:showPercent val="0"/>
          <c:showBubbleSize val="0"/>
        </c:dLbls>
        <c:marker val="1"/>
        <c:smooth val="0"/>
        <c:axId val="51031424"/>
        <c:axId val="51033216"/>
      </c:lineChart>
      <c:catAx>
        <c:axId val="51031424"/>
        <c:scaling>
          <c:orientation val="minMax"/>
        </c:scaling>
        <c:delete val="0"/>
        <c:axPos val="b"/>
        <c:numFmt formatCode="General" sourceLinked="0"/>
        <c:majorTickMark val="out"/>
        <c:minorTickMark val="none"/>
        <c:tickLblPos val="nextTo"/>
        <c:crossAx val="51033216"/>
        <c:crosses val="autoZero"/>
        <c:auto val="1"/>
        <c:lblAlgn val="ctr"/>
        <c:lblOffset val="100"/>
        <c:noMultiLvlLbl val="0"/>
      </c:catAx>
      <c:valAx>
        <c:axId val="51033216"/>
        <c:scaling>
          <c:orientation val="minMax"/>
        </c:scaling>
        <c:delete val="0"/>
        <c:axPos val="l"/>
        <c:numFmt formatCode="General" sourceLinked="1"/>
        <c:majorTickMark val="out"/>
        <c:minorTickMark val="none"/>
        <c:tickLblPos val="nextTo"/>
        <c:crossAx val="51031424"/>
        <c:crosses val="autoZero"/>
        <c:crossBetween val="between"/>
      </c:valAx>
    </c:plotArea>
    <c:legend>
      <c:legendPos val="t"/>
      <c:overlay val="0"/>
      <c:txPr>
        <a:bodyPr/>
        <a:lstStyle/>
        <a:p>
          <a:pPr>
            <a:defRPr sz="800">
              <a:latin typeface="Tw Cen MT" panose="020B0602020104020603" pitchFamily="34" charset="0"/>
            </a:defRPr>
          </a:pPr>
          <a:endParaRPr lang="en-US"/>
        </a:p>
      </c:txPr>
    </c:legend>
    <c:plotVisOnly val="1"/>
    <c:dispBlanksAs val="gap"/>
    <c:showDLblsOverMax val="0"/>
  </c:chart>
  <c:txPr>
    <a:bodyPr/>
    <a:lstStyle/>
    <a:p>
      <a:pPr>
        <a:defRPr>
          <a:latin typeface="Tw Cen MT" panose="020B0602020104020603" pitchFamily="34"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17</TotalTime>
  <Pages>1</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2017-03-15T21:07:00Z</dcterms:created>
  <dcterms:modified xsi:type="dcterms:W3CDTF">2017-03-15T21:37:00Z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