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E61" w:rsidRPr="00AD2FA5" w:rsidRDefault="00B14E61" w:rsidP="00B14E61">
      <w:pPr>
        <w:spacing w:after="120" w:line="360" w:lineRule="auto"/>
        <w:jc w:val="both"/>
        <w:rPr>
          <w:rFonts w:asciiTheme="minorHAnsi" w:hAnsiTheme="minorHAnsi" w:cs="Arial"/>
          <w:b/>
        </w:rPr>
      </w:pPr>
      <w:bookmarkStart w:id="0" w:name="_GoBack"/>
      <w:r w:rsidRPr="00AD2FA5">
        <w:rPr>
          <w:rFonts w:asciiTheme="minorHAnsi" w:hAnsiTheme="minorHAnsi" w:cs="Arial"/>
          <w:b/>
        </w:rPr>
        <w:t xml:space="preserve">Hybrid, </w:t>
      </w:r>
      <w:proofErr w:type="spellStart"/>
      <w:r w:rsidRPr="00AD2FA5">
        <w:rPr>
          <w:rFonts w:asciiTheme="minorHAnsi" w:hAnsiTheme="minorHAnsi" w:cs="Arial"/>
          <w:b/>
        </w:rPr>
        <w:t>Transcatheter</w:t>
      </w:r>
      <w:proofErr w:type="spellEnd"/>
      <w:r w:rsidRPr="00AD2FA5">
        <w:rPr>
          <w:rFonts w:asciiTheme="minorHAnsi" w:hAnsiTheme="minorHAnsi" w:cs="Arial"/>
          <w:b/>
        </w:rPr>
        <w:t xml:space="preserve"> Aortic Valve Implantation (TAVI) and Total Arterial Off-Pump Coronary Artery Bypass (OPCAB) in a Patient with Severe Aortic Valve Regurgitation –</w:t>
      </w:r>
      <w:r w:rsidRPr="00AD2FA5">
        <w:rPr>
          <w:rFonts w:asciiTheme="minorHAnsi" w:hAnsiTheme="minorHAnsi" w:cs="Arial"/>
          <w:b/>
        </w:rPr>
        <w:t xml:space="preserve"> </w:t>
      </w:r>
      <w:r w:rsidRPr="00AD2FA5">
        <w:rPr>
          <w:rFonts w:asciiTheme="minorHAnsi" w:hAnsiTheme="minorHAnsi" w:cs="Arial"/>
          <w:b/>
        </w:rPr>
        <w:t xml:space="preserve">A Case Report </w:t>
      </w:r>
    </w:p>
    <w:p w:rsidR="00B14E61" w:rsidRPr="00AD2FA5" w:rsidRDefault="00B14E61" w:rsidP="00B14E61">
      <w:pPr>
        <w:spacing w:after="120" w:line="360" w:lineRule="auto"/>
        <w:jc w:val="both"/>
        <w:rPr>
          <w:rFonts w:asciiTheme="minorHAnsi" w:hAnsiTheme="minorHAnsi" w:cs="Arial"/>
        </w:rPr>
      </w:pPr>
      <w:proofErr w:type="spellStart"/>
      <w:r w:rsidRPr="00AD2FA5">
        <w:rPr>
          <w:rFonts w:asciiTheme="minorHAnsi" w:hAnsiTheme="minorHAnsi" w:cs="Arial"/>
        </w:rPr>
        <w:t>Alinaya</w:t>
      </w:r>
      <w:proofErr w:type="spellEnd"/>
      <w:r w:rsidRPr="00AD2FA5">
        <w:rPr>
          <w:rFonts w:asciiTheme="minorHAnsi" w:hAnsiTheme="minorHAnsi" w:cs="Arial"/>
        </w:rPr>
        <w:t xml:space="preserve"> Cordero, MD, </w:t>
      </w:r>
      <w:proofErr w:type="spellStart"/>
      <w:r w:rsidRPr="00AD2FA5">
        <w:rPr>
          <w:rFonts w:asciiTheme="minorHAnsi" w:hAnsiTheme="minorHAnsi" w:cs="Arial"/>
        </w:rPr>
        <w:t>Fontini</w:t>
      </w:r>
      <w:proofErr w:type="spellEnd"/>
      <w:r w:rsidRPr="00AD2FA5">
        <w:rPr>
          <w:rFonts w:asciiTheme="minorHAnsi" w:hAnsiTheme="minorHAnsi" w:cs="Arial"/>
        </w:rPr>
        <w:t xml:space="preserve"> Carbon, MD, Erwin </w:t>
      </w:r>
      <w:proofErr w:type="spellStart"/>
      <w:r w:rsidRPr="00AD2FA5">
        <w:rPr>
          <w:rFonts w:asciiTheme="minorHAnsi" w:hAnsiTheme="minorHAnsi" w:cs="Arial"/>
        </w:rPr>
        <w:t>Ybañez</w:t>
      </w:r>
      <w:proofErr w:type="spellEnd"/>
      <w:r w:rsidRPr="00AD2FA5">
        <w:rPr>
          <w:rFonts w:asciiTheme="minorHAnsi" w:hAnsiTheme="minorHAnsi" w:cs="Arial"/>
        </w:rPr>
        <w:t xml:space="preserve">, MD and Fabio Enrique </w:t>
      </w:r>
      <w:proofErr w:type="spellStart"/>
      <w:r w:rsidRPr="00AD2FA5">
        <w:rPr>
          <w:rFonts w:asciiTheme="minorHAnsi" w:hAnsiTheme="minorHAnsi" w:cs="Arial"/>
        </w:rPr>
        <w:t>Posas</w:t>
      </w:r>
      <w:proofErr w:type="spellEnd"/>
      <w:r w:rsidRPr="00AD2FA5">
        <w:rPr>
          <w:rFonts w:asciiTheme="minorHAnsi" w:hAnsiTheme="minorHAnsi" w:cs="Arial"/>
        </w:rPr>
        <w:t>, MD*</w:t>
      </w:r>
      <w:r w:rsidRPr="00AD2FA5">
        <w:rPr>
          <w:rFonts w:asciiTheme="minorHAnsi" w:hAnsiTheme="minorHAnsi" w:cs="Arial"/>
        </w:rPr>
        <w:t>, Philippines</w:t>
      </w:r>
    </w:p>
    <w:bookmarkEnd w:id="0"/>
    <w:p w:rsidR="00AE3E37" w:rsidRDefault="00AE3E37">
      <w:pPr>
        <w:pStyle w:val="BodyText"/>
        <w:rPr>
          <w:rFonts w:ascii="Arial"/>
          <w:sz w:val="20"/>
        </w:rPr>
      </w:pPr>
    </w:p>
    <w:p w:rsidR="00AE3E37" w:rsidRDefault="00010D1F">
      <w:pPr>
        <w:pStyle w:val="BodyText"/>
        <w:spacing w:before="3"/>
        <w:rPr>
          <w:rFonts w:ascii="Arial"/>
          <w:sz w:val="21"/>
        </w:rPr>
      </w:pPr>
      <w:r>
        <w:rPr>
          <w:noProof/>
          <w:lang w:val="en-PH" w:eastAsia="en-PH"/>
        </w:rPr>
        <w:drawing>
          <wp:anchor distT="0" distB="0" distL="114300" distR="114300" simplePos="0" relativeHeight="251661312" behindDoc="0" locked="0" layoutInCell="1" allowOverlap="1" wp14:anchorId="5C4C2866" wp14:editId="70B6B77B">
            <wp:simplePos x="0" y="0"/>
            <wp:positionH relativeFrom="column">
              <wp:posOffset>5054600</wp:posOffset>
            </wp:positionH>
            <wp:positionV relativeFrom="paragraph">
              <wp:posOffset>321945</wp:posOffset>
            </wp:positionV>
            <wp:extent cx="1551940" cy="114681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l="16026" t="13114" r="15385" b="9919"/>
                    <a:stretch/>
                  </pic:blipFill>
                  <pic:spPr bwMode="auto">
                    <a:xfrm>
                      <a:off x="0" y="0"/>
                      <a:ext cx="1551940" cy="1146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AE3E37" w:rsidRDefault="00B14E61" w:rsidP="00B14E61">
      <w:pPr>
        <w:pStyle w:val="Heading3"/>
        <w:spacing w:before="74"/>
        <w:rPr>
          <w:color w:val="BF5A14"/>
        </w:rPr>
      </w:pPr>
      <w:r w:rsidRPr="00B14E61">
        <w:rPr>
          <w:rFonts w:asciiTheme="minorHAnsi" w:hAnsiTheme="minorHAnsi"/>
          <w:b w:val="0"/>
          <w:sz w:val="18"/>
          <w:szCs w:val="18"/>
        </w:rPr>
        <w:t>Background:</w:t>
      </w:r>
      <w:r w:rsidRPr="00B14E61">
        <w:rPr>
          <w:rFonts w:asciiTheme="minorHAnsi" w:hAnsiTheme="minorHAnsi"/>
          <w:b w:val="0"/>
          <w:sz w:val="18"/>
          <w:szCs w:val="18"/>
        </w:rPr>
        <w:t xml:space="preserve"> </w:t>
      </w:r>
      <w:proofErr w:type="spellStart"/>
      <w:r w:rsidRPr="00B14E61">
        <w:rPr>
          <w:rFonts w:asciiTheme="minorHAnsi" w:hAnsiTheme="minorHAnsi"/>
          <w:b w:val="0"/>
          <w:sz w:val="18"/>
          <w:szCs w:val="18"/>
        </w:rPr>
        <w:t>Transcatheter</w:t>
      </w:r>
      <w:proofErr w:type="spellEnd"/>
      <w:r w:rsidRPr="00B14E61">
        <w:rPr>
          <w:rFonts w:asciiTheme="minorHAnsi" w:hAnsiTheme="minorHAnsi"/>
          <w:b w:val="0"/>
          <w:sz w:val="18"/>
          <w:szCs w:val="18"/>
        </w:rPr>
        <w:t xml:space="preserve"> aortic valve implantation (TAVI) has been shown to be an effective growing strategy for severe, symptomatic aortic valve stenosis (AS) in patients who are either not candidates or who are at intermediate or high surgical risk for surgical aortic valve replacement (SAVR). Hybrid </w:t>
      </w:r>
      <w:proofErr w:type="spellStart"/>
      <w:r w:rsidRPr="00B14E61">
        <w:rPr>
          <w:rFonts w:asciiTheme="minorHAnsi" w:hAnsiTheme="minorHAnsi"/>
          <w:b w:val="0"/>
          <w:sz w:val="18"/>
          <w:szCs w:val="18"/>
        </w:rPr>
        <w:t>tanscatheter</w:t>
      </w:r>
      <w:proofErr w:type="spellEnd"/>
      <w:r w:rsidRPr="00B14E61">
        <w:rPr>
          <w:rFonts w:asciiTheme="minorHAnsi" w:hAnsiTheme="minorHAnsi"/>
          <w:b w:val="0"/>
          <w:sz w:val="18"/>
          <w:szCs w:val="18"/>
        </w:rPr>
        <w:t xml:space="preserve"> </w:t>
      </w:r>
      <w:r w:rsidRPr="00B14E61">
        <w:rPr>
          <w:rFonts w:asciiTheme="minorHAnsi" w:hAnsiTheme="minorHAnsi"/>
          <w:b w:val="0"/>
          <w:sz w:val="18"/>
          <w:szCs w:val="18"/>
        </w:rPr>
        <w:t>aortic valve implantation</w:t>
      </w:r>
      <w:r w:rsidRPr="00B14E61">
        <w:rPr>
          <w:rFonts w:asciiTheme="minorHAnsi" w:hAnsiTheme="minorHAnsi"/>
          <w:b w:val="0"/>
          <w:sz w:val="18"/>
          <w:szCs w:val="18"/>
        </w:rPr>
        <w:t xml:space="preserve"> and off-pump coronary artery bypass graft (OPCAB) has been previously reported in high-risk patients with severe AS a</w:t>
      </w:r>
      <w:r w:rsidRPr="00B14E61">
        <w:rPr>
          <w:rFonts w:asciiTheme="minorHAnsi" w:hAnsiTheme="minorHAnsi"/>
          <w:b w:val="0"/>
          <w:sz w:val="18"/>
          <w:szCs w:val="18"/>
        </w:rPr>
        <w:t>nd coronary artery disease</w:t>
      </w:r>
      <w:r w:rsidRPr="00B14E61">
        <w:rPr>
          <w:rFonts w:asciiTheme="minorHAnsi" w:hAnsiTheme="minorHAnsi"/>
          <w:b w:val="0"/>
          <w:sz w:val="18"/>
          <w:szCs w:val="18"/>
        </w:rPr>
        <w:t>.  TAVI data for severe aortic valve regurgitation (AR) is limited and currently considered an off-label application.  Reports on hybrid TAVI for severe AR and OPCAB in patients with severe co-morbid CAD are limited.  Objective:</w:t>
      </w:r>
      <w:r w:rsidRPr="00B14E61">
        <w:rPr>
          <w:rFonts w:asciiTheme="minorHAnsi" w:hAnsiTheme="minorHAnsi"/>
          <w:b w:val="0"/>
          <w:sz w:val="18"/>
          <w:szCs w:val="18"/>
        </w:rPr>
        <w:t xml:space="preserve"> </w:t>
      </w:r>
      <w:r w:rsidRPr="00B14E61">
        <w:rPr>
          <w:rFonts w:asciiTheme="minorHAnsi" w:hAnsiTheme="minorHAnsi"/>
          <w:b w:val="0"/>
          <w:sz w:val="18"/>
          <w:szCs w:val="18"/>
        </w:rPr>
        <w:t xml:space="preserve">We report a hybrid TAVI and OPCAB in a 64-year-old, female, with severe </w:t>
      </w:r>
      <w:r w:rsidRPr="00B14E61">
        <w:rPr>
          <w:rFonts w:asciiTheme="minorHAnsi" w:hAnsiTheme="minorHAnsi"/>
          <w:b w:val="0"/>
          <w:sz w:val="18"/>
          <w:szCs w:val="18"/>
        </w:rPr>
        <w:t>AR</w:t>
      </w:r>
      <w:r w:rsidRPr="00B14E61">
        <w:rPr>
          <w:rFonts w:asciiTheme="minorHAnsi" w:hAnsiTheme="minorHAnsi"/>
          <w:b w:val="0"/>
          <w:sz w:val="18"/>
          <w:szCs w:val="18"/>
        </w:rPr>
        <w:t>, severe left ventricular systolic dysfunction and coronary artery disease with low take off of the left main (LM) and porcelain aorta.  Case Report:</w:t>
      </w:r>
      <w:r w:rsidRPr="00B14E61">
        <w:rPr>
          <w:rFonts w:asciiTheme="minorHAnsi" w:hAnsiTheme="minorHAnsi"/>
          <w:b w:val="0"/>
          <w:sz w:val="18"/>
          <w:szCs w:val="18"/>
        </w:rPr>
        <w:t xml:space="preserve"> </w:t>
      </w:r>
      <w:r w:rsidRPr="00B14E61">
        <w:rPr>
          <w:rFonts w:asciiTheme="minorHAnsi" w:hAnsiTheme="minorHAnsi"/>
          <w:b w:val="0"/>
          <w:sz w:val="18"/>
          <w:szCs w:val="18"/>
        </w:rPr>
        <w:t xml:space="preserve">Patient is a 64 year-old morbidly obese, Filipino female with porcelain aorta and post-percutaneous coronary intervention (PCI) with drug-eluting stent (DES) implantation for </w:t>
      </w:r>
      <w:proofErr w:type="spellStart"/>
      <w:r w:rsidRPr="00B14E61">
        <w:rPr>
          <w:rFonts w:asciiTheme="minorHAnsi" w:hAnsiTheme="minorHAnsi"/>
          <w:b w:val="0"/>
          <w:sz w:val="18"/>
          <w:szCs w:val="18"/>
        </w:rPr>
        <w:t>multivessel</w:t>
      </w:r>
      <w:proofErr w:type="spellEnd"/>
      <w:r w:rsidRPr="00B14E61">
        <w:rPr>
          <w:rFonts w:asciiTheme="minorHAnsi" w:hAnsiTheme="minorHAnsi"/>
          <w:b w:val="0"/>
          <w:sz w:val="18"/>
          <w:szCs w:val="18"/>
        </w:rPr>
        <w:t xml:space="preserve"> coronary artery disease with LM involvement and was admitted for a refractory heart failure. Her 2D echo demonstrated a dilated left ventricle with 19% left ventricular ejection fraction (LVEF) and severe aortic regurgitation. Computed tomography angiography (CTA) demonstrated porcelain aorta, low take off of the left main with good femoral access.  Hybrid TAVI with 26 mm </w:t>
      </w:r>
      <w:proofErr w:type="spellStart"/>
      <w:r w:rsidRPr="00B14E61">
        <w:rPr>
          <w:rFonts w:asciiTheme="minorHAnsi" w:hAnsiTheme="minorHAnsi"/>
          <w:b w:val="0"/>
          <w:sz w:val="18"/>
          <w:szCs w:val="18"/>
        </w:rPr>
        <w:t>Corevalve</w:t>
      </w:r>
      <w:proofErr w:type="spellEnd"/>
      <w:r w:rsidRPr="00B14E61">
        <w:rPr>
          <w:rFonts w:asciiTheme="minorHAnsi" w:hAnsiTheme="minorHAnsi"/>
          <w:b w:val="0"/>
          <w:sz w:val="18"/>
          <w:szCs w:val="18"/>
        </w:rPr>
        <w:t xml:space="preserve"> was done via the trans femoral approach after OPCAB of left internal mammary artery (LIMA) to left anterior descending (LAD) artery.  Valve in valve was required due to low valve implantation and severe paravalvular leak (PVL).  Follow-up echo at 22 months demonstrated no PVL, 1.6cm2 effective orifice aortic valve area (AVA), 12.4 mmHg mean gradient, and 50% LVEF.  She remains asymptomatic and in functional class I. Conclusions:</w:t>
      </w:r>
      <w:r w:rsidRPr="00B14E61">
        <w:rPr>
          <w:rFonts w:asciiTheme="minorHAnsi" w:hAnsiTheme="minorHAnsi"/>
          <w:b w:val="0"/>
          <w:sz w:val="18"/>
          <w:szCs w:val="18"/>
        </w:rPr>
        <w:t xml:space="preserve"> </w:t>
      </w:r>
      <w:r w:rsidRPr="00B14E61">
        <w:rPr>
          <w:rFonts w:asciiTheme="minorHAnsi" w:hAnsiTheme="minorHAnsi"/>
          <w:b w:val="0"/>
          <w:sz w:val="18"/>
          <w:szCs w:val="18"/>
        </w:rPr>
        <w:t>Hybrid TAVI and OPCAB in patients with severe valvar AR, porcelain aorta and CAD represents a feasible and effective option of care.  There are few reports in the literature documenting the effectiveness nor feasibility of this approach for such</w:t>
      </w:r>
      <w:r w:rsidRPr="00B14E61">
        <w:rPr>
          <w:b w:val="0"/>
        </w:rPr>
        <w:t xml:space="preserve"> patients.</w:t>
      </w:r>
      <w:r w:rsidR="00A9710C">
        <w:rPr>
          <w:b w:val="0"/>
        </w:rPr>
        <w:br w:type="column"/>
      </w:r>
      <w:r w:rsidR="00A9710C">
        <w:rPr>
          <w:color w:val="BF5A14"/>
        </w:rPr>
        <w:t>Image</w:t>
      </w:r>
    </w:p>
    <w:p w:rsidR="00B14E61" w:rsidRDefault="00B14E61" w:rsidP="00010D1F">
      <w:pPr>
        <w:pStyle w:val="Heading3"/>
        <w:spacing w:before="74"/>
        <w:rPr>
          <w:rFonts w:asciiTheme="minorHAnsi" w:hAnsiTheme="minorHAnsi"/>
          <w:sz w:val="18"/>
          <w:szCs w:val="18"/>
        </w:rPr>
      </w:pPr>
      <w:r>
        <w:rPr>
          <w:noProof/>
          <w:lang w:val="en-PH" w:eastAsia="en-PH"/>
        </w:rPr>
        <w:drawing>
          <wp:anchor distT="0" distB="0" distL="114300" distR="114300" simplePos="0" relativeHeight="251657216" behindDoc="0" locked="0" layoutInCell="1" allowOverlap="1" wp14:anchorId="1678BA6D" wp14:editId="3094A0C5">
            <wp:simplePos x="0" y="0"/>
            <wp:positionH relativeFrom="column">
              <wp:posOffset>55880</wp:posOffset>
            </wp:positionH>
            <wp:positionV relativeFrom="paragraph">
              <wp:posOffset>20320</wp:posOffset>
            </wp:positionV>
            <wp:extent cx="1455420" cy="1146810"/>
            <wp:effectExtent l="0" t="0" r="0" b="0"/>
            <wp:wrapSquare wrapText="bothSides"/>
            <wp:docPr id="2" name="Picture 2" descr="C:\Users\nayacordero\AppData\Local\Microsoft\Windows\INetCacheContent.Word\NAYA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yacordero\AppData\Local\Microsoft\Windows\INetCacheContent.Word\NAYA COLO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55420" cy="11468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sz w:val="18"/>
          <w:szCs w:val="18"/>
        </w:rPr>
        <w:t xml:space="preserve">Figure 1. (A) </w:t>
      </w:r>
      <w:r w:rsidRPr="00B14E61">
        <w:rPr>
          <w:rFonts w:asciiTheme="minorHAnsi" w:hAnsiTheme="minorHAnsi"/>
          <w:sz w:val="18"/>
          <w:szCs w:val="18"/>
        </w:rPr>
        <w:t>PLAX view of the left ventricle showing severe aortic regu</w:t>
      </w:r>
      <w:r w:rsidR="00010D1F">
        <w:rPr>
          <w:rFonts w:asciiTheme="minorHAnsi" w:hAnsiTheme="minorHAnsi"/>
          <w:sz w:val="18"/>
          <w:szCs w:val="18"/>
        </w:rPr>
        <w:t xml:space="preserve">rgitation on color flow Doppler, pre TAVI. (B) </w:t>
      </w:r>
      <w:r w:rsidR="00010D1F" w:rsidRPr="00010D1F">
        <w:rPr>
          <w:rFonts w:asciiTheme="minorHAnsi" w:hAnsiTheme="minorHAnsi"/>
          <w:sz w:val="18"/>
          <w:szCs w:val="18"/>
        </w:rPr>
        <w:t xml:space="preserve">PLAX view of the left ventricle showing </w:t>
      </w:r>
      <w:proofErr w:type="spellStart"/>
      <w:r w:rsidR="00010D1F" w:rsidRPr="00010D1F">
        <w:rPr>
          <w:rFonts w:asciiTheme="minorHAnsi" w:hAnsiTheme="minorHAnsi"/>
          <w:sz w:val="18"/>
          <w:szCs w:val="18"/>
        </w:rPr>
        <w:t>bioprosthetic</w:t>
      </w:r>
      <w:proofErr w:type="spellEnd"/>
      <w:r w:rsidR="00010D1F" w:rsidRPr="00010D1F">
        <w:rPr>
          <w:rFonts w:asciiTheme="minorHAnsi" w:hAnsiTheme="minorHAnsi"/>
          <w:sz w:val="18"/>
          <w:szCs w:val="18"/>
        </w:rPr>
        <w:t xml:space="preserve"> valve with no regu</w:t>
      </w:r>
      <w:r w:rsidR="00010D1F">
        <w:rPr>
          <w:rFonts w:asciiTheme="minorHAnsi" w:hAnsiTheme="minorHAnsi"/>
          <w:sz w:val="18"/>
          <w:szCs w:val="18"/>
        </w:rPr>
        <w:t>rgitation on color flow Doppler, post TAVI.</w:t>
      </w:r>
    </w:p>
    <w:p w:rsidR="00010D1F" w:rsidRPr="00010D1F" w:rsidRDefault="00010D1F" w:rsidP="00010D1F">
      <w:pPr>
        <w:pStyle w:val="Heading3"/>
        <w:spacing w:before="74"/>
        <w:rPr>
          <w:rFonts w:asciiTheme="minorHAnsi" w:hAnsiTheme="minorHAnsi"/>
          <w:sz w:val="18"/>
          <w:szCs w:val="18"/>
        </w:rPr>
      </w:pPr>
      <w:r>
        <w:rPr>
          <w:noProof/>
          <w:lang w:val="en-PH" w:eastAsia="en-PH"/>
        </w:rPr>
        <w:drawing>
          <wp:anchor distT="0" distB="0" distL="114300" distR="114300" simplePos="0" relativeHeight="251674624" behindDoc="0" locked="0" layoutInCell="1" allowOverlap="1" wp14:anchorId="018DEF61" wp14:editId="3D25023A">
            <wp:simplePos x="0" y="0"/>
            <wp:positionH relativeFrom="column">
              <wp:posOffset>55880</wp:posOffset>
            </wp:positionH>
            <wp:positionV relativeFrom="paragraph">
              <wp:posOffset>191135</wp:posOffset>
            </wp:positionV>
            <wp:extent cx="1512570" cy="1247775"/>
            <wp:effectExtent l="0" t="0" r="0" b="9525"/>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24721" t="6841" r="27586" b="12429"/>
                    <a:stretch/>
                  </pic:blipFill>
                  <pic:spPr bwMode="auto">
                    <a:xfrm>
                      <a:off x="0" y="0"/>
                      <a:ext cx="1512570" cy="1247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PH" w:eastAsia="en-PH"/>
        </w:rPr>
        <w:drawing>
          <wp:anchor distT="0" distB="0" distL="114300" distR="114300" simplePos="0" relativeHeight="251666432" behindDoc="0" locked="0" layoutInCell="1" allowOverlap="1" wp14:anchorId="18E784C0" wp14:editId="04DC73C0">
            <wp:simplePos x="0" y="0"/>
            <wp:positionH relativeFrom="column">
              <wp:posOffset>1656080</wp:posOffset>
            </wp:positionH>
            <wp:positionV relativeFrom="paragraph">
              <wp:posOffset>191135</wp:posOffset>
            </wp:positionV>
            <wp:extent cx="1512570" cy="1247775"/>
            <wp:effectExtent l="0" t="0" r="0" b="9525"/>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26154" t="3650" r="30256" b="11516"/>
                    <a:stretch/>
                  </pic:blipFill>
                  <pic:spPr bwMode="auto">
                    <a:xfrm>
                      <a:off x="0" y="0"/>
                      <a:ext cx="1512570" cy="1247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10D1F" w:rsidRDefault="00010D1F" w:rsidP="00010D1F">
      <w:pPr>
        <w:spacing w:line="204" w:lineRule="exact"/>
        <w:jc w:val="both"/>
        <w:rPr>
          <w:rFonts w:asciiTheme="minorHAnsi" w:hAnsiTheme="minorHAnsi"/>
          <w:b/>
          <w:sz w:val="18"/>
          <w:szCs w:val="18"/>
        </w:rPr>
      </w:pPr>
    </w:p>
    <w:p w:rsidR="00B14E61" w:rsidRPr="00010D1F" w:rsidRDefault="00010D1F" w:rsidP="00010D1F">
      <w:pPr>
        <w:spacing w:line="204" w:lineRule="exact"/>
        <w:jc w:val="both"/>
        <w:rPr>
          <w:rFonts w:asciiTheme="minorHAnsi" w:hAnsiTheme="minorHAnsi"/>
          <w:b/>
          <w:sz w:val="18"/>
          <w:szCs w:val="18"/>
        </w:rPr>
      </w:pPr>
      <w:r>
        <w:rPr>
          <w:rFonts w:asciiTheme="minorHAnsi" w:hAnsiTheme="minorHAnsi"/>
          <w:b/>
          <w:sz w:val="18"/>
          <w:szCs w:val="18"/>
        </w:rPr>
        <w:t xml:space="preserve">Figure 2. (A) Deployment of the </w:t>
      </w:r>
      <w:r w:rsidRPr="00010D1F">
        <w:rPr>
          <w:rFonts w:asciiTheme="minorHAnsi" w:hAnsiTheme="minorHAnsi"/>
          <w:b/>
          <w:sz w:val="18"/>
          <w:szCs w:val="18"/>
        </w:rPr>
        <w:t xml:space="preserve">first </w:t>
      </w:r>
      <w:proofErr w:type="spellStart"/>
      <w:r w:rsidRPr="00010D1F">
        <w:rPr>
          <w:rFonts w:asciiTheme="minorHAnsi" w:hAnsiTheme="minorHAnsi"/>
          <w:b/>
          <w:sz w:val="18"/>
          <w:szCs w:val="18"/>
        </w:rPr>
        <w:t>bioprosthetic</w:t>
      </w:r>
      <w:proofErr w:type="spellEnd"/>
      <w:r w:rsidRPr="00010D1F">
        <w:rPr>
          <w:rFonts w:asciiTheme="minorHAnsi" w:hAnsiTheme="minorHAnsi"/>
          <w:b/>
          <w:sz w:val="18"/>
          <w:szCs w:val="18"/>
        </w:rPr>
        <w:t xml:space="preserve"> aortic valve with significant </w:t>
      </w:r>
      <w:proofErr w:type="spellStart"/>
      <w:r w:rsidRPr="00010D1F">
        <w:rPr>
          <w:rFonts w:asciiTheme="minorHAnsi" w:hAnsiTheme="minorHAnsi"/>
          <w:b/>
          <w:sz w:val="18"/>
          <w:szCs w:val="18"/>
        </w:rPr>
        <w:t>paravalvar</w:t>
      </w:r>
      <w:proofErr w:type="spellEnd"/>
      <w:r w:rsidRPr="00010D1F">
        <w:rPr>
          <w:rFonts w:asciiTheme="minorHAnsi" w:hAnsiTheme="minorHAnsi"/>
          <w:b/>
          <w:sz w:val="18"/>
          <w:szCs w:val="18"/>
        </w:rPr>
        <w:t xml:space="preserve"> leak. (B) A second </w:t>
      </w:r>
      <w:proofErr w:type="spellStart"/>
      <w:r w:rsidRPr="00010D1F">
        <w:rPr>
          <w:rFonts w:asciiTheme="minorHAnsi" w:hAnsiTheme="minorHAnsi"/>
          <w:b/>
          <w:sz w:val="18"/>
          <w:szCs w:val="18"/>
        </w:rPr>
        <w:t>bioprosthetic</w:t>
      </w:r>
      <w:proofErr w:type="spellEnd"/>
      <w:r w:rsidRPr="00010D1F">
        <w:rPr>
          <w:rFonts w:asciiTheme="minorHAnsi" w:hAnsiTheme="minorHAnsi"/>
          <w:b/>
          <w:sz w:val="18"/>
          <w:szCs w:val="18"/>
        </w:rPr>
        <w:t xml:space="preserve"> aortic valve was placed now showing mild </w:t>
      </w:r>
      <w:proofErr w:type="spellStart"/>
      <w:r w:rsidRPr="00010D1F">
        <w:rPr>
          <w:rFonts w:asciiTheme="minorHAnsi" w:hAnsiTheme="minorHAnsi"/>
          <w:b/>
          <w:sz w:val="18"/>
          <w:szCs w:val="18"/>
        </w:rPr>
        <w:t>paralvalvar</w:t>
      </w:r>
      <w:proofErr w:type="spellEnd"/>
      <w:r w:rsidRPr="00010D1F">
        <w:rPr>
          <w:rFonts w:asciiTheme="minorHAnsi" w:hAnsiTheme="minorHAnsi"/>
          <w:b/>
          <w:sz w:val="18"/>
          <w:szCs w:val="18"/>
        </w:rPr>
        <w:t xml:space="preserve"> leak on aortogram.</w:t>
      </w:r>
    </w:p>
    <w:p w:rsidR="00010D1F" w:rsidRDefault="00010D1F" w:rsidP="00010D1F">
      <w:pPr>
        <w:spacing w:line="204" w:lineRule="exact"/>
        <w:jc w:val="both"/>
        <w:rPr>
          <w:rFonts w:ascii="Arial"/>
          <w:b/>
          <w:color w:val="BF5A14"/>
          <w:sz w:val="20"/>
        </w:rPr>
      </w:pPr>
    </w:p>
    <w:p w:rsidR="005973B9" w:rsidRDefault="00010D1F" w:rsidP="005973B9">
      <w:pPr>
        <w:spacing w:line="204" w:lineRule="exact"/>
        <w:rPr>
          <w:rFonts w:ascii="Arial"/>
          <w:b/>
          <w:sz w:val="20"/>
        </w:rPr>
      </w:pPr>
      <w:r>
        <w:rPr>
          <w:rFonts w:ascii="Arial"/>
          <w:b/>
          <w:color w:val="BF5A14"/>
          <w:sz w:val="20"/>
        </w:rPr>
        <w:t xml:space="preserve">Recent Publications </w:t>
      </w:r>
    </w:p>
    <w:p w:rsidR="00010D1F" w:rsidRPr="00010D1F" w:rsidRDefault="00010D1F" w:rsidP="00010D1F">
      <w:pPr>
        <w:rPr>
          <w:sz w:val="18"/>
        </w:rPr>
      </w:pPr>
      <w:r w:rsidRPr="00010D1F">
        <w:rPr>
          <w:rFonts w:ascii="Calibri" w:eastAsia="Calibri" w:hAnsi="Calibri" w:cs="Calibri"/>
          <w:sz w:val="18"/>
        </w:rPr>
        <w:t>1.</w:t>
      </w:r>
      <w:r>
        <w:rPr>
          <w:sz w:val="18"/>
        </w:rPr>
        <w:t xml:space="preserve"> </w:t>
      </w:r>
      <w:r w:rsidRPr="00010D1F">
        <w:rPr>
          <w:sz w:val="18"/>
        </w:rPr>
        <w:t xml:space="preserve">Kobayashi J, et.al. (2016). Early Results of Simultaneous Transaortic </w:t>
      </w:r>
      <w:proofErr w:type="spellStart"/>
      <w:r w:rsidRPr="00010D1F">
        <w:rPr>
          <w:sz w:val="18"/>
        </w:rPr>
        <w:t>Transcatheter</w:t>
      </w:r>
      <w:proofErr w:type="spellEnd"/>
      <w:r w:rsidRPr="00010D1F">
        <w:rPr>
          <w:sz w:val="18"/>
        </w:rPr>
        <w:t xml:space="preserve"> Aortic Valve Implantation and Total Arterial Off-Pump Coronary Artery Revascularization in High-Risk Patients. Circulation Journal, 80(9):1946-50.</w:t>
      </w:r>
    </w:p>
    <w:p w:rsidR="00010D1F" w:rsidRPr="00010D1F" w:rsidRDefault="00010D1F" w:rsidP="00010D1F">
      <w:pPr>
        <w:spacing w:line="200" w:lineRule="exact"/>
        <w:jc w:val="both"/>
        <w:rPr>
          <w:rFonts w:ascii="Calibri" w:eastAsia="Calibri" w:hAnsi="Calibri" w:cs="Calibri"/>
          <w:sz w:val="18"/>
        </w:rPr>
      </w:pPr>
    </w:p>
    <w:p w:rsidR="00010D1F" w:rsidRPr="00010D1F" w:rsidRDefault="00010D1F" w:rsidP="00010D1F">
      <w:pPr>
        <w:spacing w:line="200" w:lineRule="exact"/>
        <w:jc w:val="both"/>
        <w:rPr>
          <w:rFonts w:ascii="Calibri" w:eastAsia="Calibri" w:hAnsi="Calibri" w:cs="Calibri"/>
          <w:sz w:val="18"/>
        </w:rPr>
      </w:pPr>
      <w:r>
        <w:rPr>
          <w:rFonts w:ascii="Calibri" w:eastAsia="Calibri" w:hAnsi="Calibri" w:cs="Calibri"/>
          <w:sz w:val="18"/>
        </w:rPr>
        <w:t xml:space="preserve">2. </w:t>
      </w:r>
      <w:proofErr w:type="spellStart"/>
      <w:r w:rsidRPr="00010D1F">
        <w:rPr>
          <w:rFonts w:ascii="Calibri" w:eastAsia="Calibri" w:hAnsi="Calibri" w:cs="Calibri"/>
          <w:sz w:val="18"/>
        </w:rPr>
        <w:t>Franzone</w:t>
      </w:r>
      <w:proofErr w:type="spellEnd"/>
      <w:r w:rsidRPr="00010D1F">
        <w:rPr>
          <w:rFonts w:ascii="Calibri" w:eastAsia="Calibri" w:hAnsi="Calibri" w:cs="Calibri"/>
          <w:sz w:val="18"/>
        </w:rPr>
        <w:t xml:space="preserve">, A., et.al. (2016). </w:t>
      </w:r>
      <w:proofErr w:type="spellStart"/>
      <w:r w:rsidRPr="00010D1F">
        <w:rPr>
          <w:rFonts w:ascii="Calibri" w:eastAsia="Calibri" w:hAnsi="Calibri" w:cs="Calibri"/>
          <w:sz w:val="18"/>
        </w:rPr>
        <w:t>Transcatheter</w:t>
      </w:r>
      <w:proofErr w:type="spellEnd"/>
      <w:r w:rsidRPr="00010D1F">
        <w:rPr>
          <w:rFonts w:ascii="Calibri" w:eastAsia="Calibri" w:hAnsi="Calibri" w:cs="Calibri"/>
          <w:sz w:val="18"/>
        </w:rPr>
        <w:t xml:space="preserve"> Aortic Valve Replacement for the Treatment of Pure Native Aortic Valve Regurgitation. Journal of the American College of Cardiology: Cardiovascular Interventions, 9:2308–17.</w:t>
      </w:r>
    </w:p>
    <w:p w:rsidR="00010D1F" w:rsidRPr="00010D1F" w:rsidRDefault="00010D1F" w:rsidP="00010D1F">
      <w:pPr>
        <w:spacing w:line="200" w:lineRule="exact"/>
        <w:jc w:val="both"/>
        <w:rPr>
          <w:rFonts w:ascii="Calibri" w:eastAsia="Calibri" w:hAnsi="Calibri" w:cs="Calibri"/>
          <w:sz w:val="18"/>
        </w:rPr>
      </w:pPr>
    </w:p>
    <w:p w:rsidR="00010D1F" w:rsidRPr="00010D1F" w:rsidRDefault="00010D1F" w:rsidP="00010D1F">
      <w:pPr>
        <w:spacing w:line="200" w:lineRule="exact"/>
        <w:jc w:val="both"/>
        <w:rPr>
          <w:rFonts w:ascii="Calibri" w:eastAsia="Calibri" w:hAnsi="Calibri" w:cs="Calibri"/>
          <w:sz w:val="18"/>
        </w:rPr>
      </w:pPr>
      <w:r>
        <w:rPr>
          <w:rFonts w:ascii="Calibri" w:eastAsia="Calibri" w:hAnsi="Calibri" w:cs="Calibri"/>
          <w:sz w:val="18"/>
        </w:rPr>
        <w:t xml:space="preserve">3. </w:t>
      </w:r>
      <w:r w:rsidRPr="00010D1F">
        <w:rPr>
          <w:rFonts w:ascii="Calibri" w:eastAsia="Calibri" w:hAnsi="Calibri" w:cs="Calibri"/>
          <w:sz w:val="18"/>
        </w:rPr>
        <w:t xml:space="preserve">Testa, L., et.al. (2014). </w:t>
      </w:r>
      <w:proofErr w:type="spellStart"/>
      <w:r w:rsidRPr="00010D1F">
        <w:rPr>
          <w:rFonts w:ascii="Calibri" w:eastAsia="Calibri" w:hAnsi="Calibri" w:cs="Calibri"/>
          <w:sz w:val="18"/>
        </w:rPr>
        <w:t>CoreValve</w:t>
      </w:r>
      <w:proofErr w:type="spellEnd"/>
      <w:r w:rsidRPr="00010D1F">
        <w:rPr>
          <w:rFonts w:ascii="Calibri" w:eastAsia="Calibri" w:hAnsi="Calibri" w:cs="Calibri"/>
          <w:sz w:val="18"/>
        </w:rPr>
        <w:t xml:space="preserve"> implantation for severe aortic regurgitation: a </w:t>
      </w:r>
      <w:proofErr w:type="spellStart"/>
      <w:r w:rsidRPr="00010D1F">
        <w:rPr>
          <w:rFonts w:ascii="Calibri" w:eastAsia="Calibri" w:hAnsi="Calibri" w:cs="Calibri"/>
          <w:sz w:val="18"/>
        </w:rPr>
        <w:t>multicentre</w:t>
      </w:r>
      <w:proofErr w:type="spellEnd"/>
      <w:r w:rsidRPr="00010D1F">
        <w:rPr>
          <w:rFonts w:ascii="Calibri" w:eastAsia="Calibri" w:hAnsi="Calibri" w:cs="Calibri"/>
          <w:sz w:val="18"/>
        </w:rPr>
        <w:t xml:space="preserve"> registry. </w:t>
      </w:r>
      <w:proofErr w:type="spellStart"/>
      <w:r w:rsidRPr="00010D1F">
        <w:rPr>
          <w:rFonts w:ascii="Calibri" w:eastAsia="Calibri" w:hAnsi="Calibri" w:cs="Calibri"/>
          <w:sz w:val="18"/>
        </w:rPr>
        <w:t>EuroIntervention</w:t>
      </w:r>
      <w:proofErr w:type="spellEnd"/>
      <w:r w:rsidRPr="00010D1F">
        <w:rPr>
          <w:rFonts w:ascii="Calibri" w:eastAsia="Calibri" w:hAnsi="Calibri" w:cs="Calibri"/>
          <w:sz w:val="18"/>
        </w:rPr>
        <w:t>. (6):739-45.</w:t>
      </w:r>
    </w:p>
    <w:p w:rsidR="00010D1F" w:rsidRPr="00010D1F" w:rsidRDefault="00010D1F" w:rsidP="00010D1F">
      <w:pPr>
        <w:spacing w:line="200" w:lineRule="exact"/>
        <w:jc w:val="both"/>
        <w:rPr>
          <w:rFonts w:ascii="Calibri" w:eastAsia="Calibri" w:hAnsi="Calibri" w:cs="Calibri"/>
          <w:sz w:val="18"/>
        </w:rPr>
      </w:pPr>
    </w:p>
    <w:p w:rsidR="00010D1F" w:rsidRPr="00010D1F" w:rsidRDefault="00010D1F" w:rsidP="00010D1F">
      <w:pPr>
        <w:spacing w:line="200" w:lineRule="exact"/>
        <w:jc w:val="both"/>
        <w:rPr>
          <w:rFonts w:ascii="Calibri" w:eastAsia="Calibri" w:hAnsi="Calibri" w:cs="Calibri"/>
          <w:sz w:val="18"/>
        </w:rPr>
      </w:pPr>
      <w:r>
        <w:rPr>
          <w:rFonts w:ascii="Calibri" w:eastAsia="Calibri" w:hAnsi="Calibri" w:cs="Calibri"/>
          <w:sz w:val="18"/>
        </w:rPr>
        <w:t xml:space="preserve">4. </w:t>
      </w:r>
      <w:r w:rsidRPr="00010D1F">
        <w:rPr>
          <w:rFonts w:ascii="Calibri" w:eastAsia="Calibri" w:hAnsi="Calibri" w:cs="Calibri"/>
          <w:sz w:val="18"/>
        </w:rPr>
        <w:t xml:space="preserve">Roy D.A. et.al. (2012). </w:t>
      </w:r>
      <w:proofErr w:type="spellStart"/>
      <w:r w:rsidRPr="00010D1F">
        <w:rPr>
          <w:rFonts w:ascii="Calibri" w:eastAsia="Calibri" w:hAnsi="Calibri" w:cs="Calibri"/>
          <w:sz w:val="18"/>
        </w:rPr>
        <w:t>Transcatheter</w:t>
      </w:r>
      <w:proofErr w:type="spellEnd"/>
      <w:r w:rsidRPr="00010D1F">
        <w:rPr>
          <w:rFonts w:ascii="Calibri" w:eastAsia="Calibri" w:hAnsi="Calibri" w:cs="Calibri"/>
          <w:sz w:val="18"/>
        </w:rPr>
        <w:t xml:space="preserve"> aortic valve implantation for pure severe native aortic valve regurgitation. Journal of the American College of Cardiology, 61(15):1577-84.</w:t>
      </w:r>
    </w:p>
    <w:p w:rsidR="00010D1F" w:rsidRPr="00010D1F" w:rsidRDefault="00010D1F" w:rsidP="00010D1F">
      <w:pPr>
        <w:spacing w:line="200" w:lineRule="exact"/>
        <w:jc w:val="both"/>
        <w:rPr>
          <w:rFonts w:ascii="Calibri" w:eastAsia="Calibri" w:hAnsi="Calibri" w:cs="Calibri"/>
          <w:sz w:val="18"/>
        </w:rPr>
      </w:pPr>
    </w:p>
    <w:p w:rsidR="00010D1F" w:rsidRPr="00010D1F" w:rsidRDefault="00010D1F" w:rsidP="00010D1F">
      <w:pPr>
        <w:spacing w:line="200" w:lineRule="exact"/>
        <w:jc w:val="both"/>
        <w:rPr>
          <w:rFonts w:ascii="Calibri" w:eastAsia="Calibri" w:hAnsi="Calibri" w:cs="Calibri"/>
          <w:sz w:val="18"/>
        </w:rPr>
      </w:pPr>
      <w:r>
        <w:rPr>
          <w:rFonts w:ascii="Calibri" w:eastAsia="Calibri" w:hAnsi="Calibri" w:cs="Calibri"/>
          <w:sz w:val="18"/>
        </w:rPr>
        <w:t xml:space="preserve">5. </w:t>
      </w:r>
      <w:proofErr w:type="spellStart"/>
      <w:r w:rsidRPr="00010D1F">
        <w:rPr>
          <w:rFonts w:ascii="Calibri" w:eastAsia="Calibri" w:hAnsi="Calibri" w:cs="Calibri"/>
          <w:sz w:val="18"/>
        </w:rPr>
        <w:t>Goel</w:t>
      </w:r>
      <w:proofErr w:type="spellEnd"/>
      <w:r w:rsidRPr="00010D1F">
        <w:rPr>
          <w:rFonts w:ascii="Calibri" w:eastAsia="Calibri" w:hAnsi="Calibri" w:cs="Calibri"/>
          <w:sz w:val="18"/>
        </w:rPr>
        <w:t xml:space="preserve">, S., et.al. (2013). Severe aortic stenosis and coronary artery disease—implications for management in the </w:t>
      </w:r>
      <w:proofErr w:type="spellStart"/>
      <w:r w:rsidRPr="00010D1F">
        <w:rPr>
          <w:rFonts w:ascii="Calibri" w:eastAsia="Calibri" w:hAnsi="Calibri" w:cs="Calibri"/>
          <w:sz w:val="18"/>
        </w:rPr>
        <w:t>transcatheter</w:t>
      </w:r>
      <w:proofErr w:type="spellEnd"/>
      <w:r w:rsidRPr="00010D1F">
        <w:rPr>
          <w:rFonts w:ascii="Calibri" w:eastAsia="Calibri" w:hAnsi="Calibri" w:cs="Calibri"/>
          <w:sz w:val="18"/>
        </w:rPr>
        <w:t xml:space="preserve"> aortic valve replacement era: a comprehensive review. Journal American College of Cardiology. 62:1–10.</w:t>
      </w:r>
    </w:p>
    <w:p w:rsidR="00010D1F" w:rsidRPr="00010D1F" w:rsidRDefault="00010D1F" w:rsidP="00010D1F">
      <w:pPr>
        <w:spacing w:line="200" w:lineRule="exact"/>
        <w:jc w:val="both"/>
        <w:rPr>
          <w:rFonts w:ascii="Calibri" w:eastAsia="Calibri" w:hAnsi="Calibri" w:cs="Calibri"/>
          <w:sz w:val="18"/>
        </w:rPr>
      </w:pPr>
    </w:p>
    <w:p w:rsidR="00010D1F" w:rsidRPr="00010D1F" w:rsidRDefault="00010D1F" w:rsidP="00010D1F">
      <w:pPr>
        <w:spacing w:line="200" w:lineRule="exact"/>
        <w:jc w:val="both"/>
        <w:rPr>
          <w:rFonts w:ascii="Calibri" w:eastAsia="Calibri" w:hAnsi="Calibri" w:cs="Calibri"/>
          <w:sz w:val="18"/>
        </w:rPr>
      </w:pPr>
      <w:r>
        <w:rPr>
          <w:rFonts w:ascii="Calibri" w:eastAsia="Calibri" w:hAnsi="Calibri" w:cs="Calibri"/>
          <w:sz w:val="18"/>
        </w:rPr>
        <w:t xml:space="preserve">6. </w:t>
      </w:r>
      <w:proofErr w:type="spellStart"/>
      <w:r w:rsidRPr="00010D1F">
        <w:rPr>
          <w:rFonts w:ascii="Calibri" w:eastAsia="Calibri" w:hAnsi="Calibri" w:cs="Calibri"/>
          <w:sz w:val="18"/>
        </w:rPr>
        <w:t>Huded</w:t>
      </w:r>
      <w:proofErr w:type="spellEnd"/>
      <w:r w:rsidRPr="00010D1F">
        <w:rPr>
          <w:rFonts w:ascii="Calibri" w:eastAsia="Calibri" w:hAnsi="Calibri" w:cs="Calibri"/>
          <w:sz w:val="18"/>
        </w:rPr>
        <w:t>, Chetan, MD and Samir R. Kapadia, MD. (2013). Decision-Making on the Treatment of CAD in the Age of TAVR. Expert Analysis. Journal American College of Cardiology.</w:t>
      </w:r>
    </w:p>
    <w:p w:rsidR="00010D1F" w:rsidRPr="00010D1F" w:rsidRDefault="00010D1F" w:rsidP="00010D1F">
      <w:pPr>
        <w:spacing w:line="200" w:lineRule="exact"/>
        <w:jc w:val="both"/>
        <w:rPr>
          <w:rFonts w:ascii="Calibri" w:eastAsia="Calibri" w:hAnsi="Calibri" w:cs="Calibri"/>
          <w:sz w:val="18"/>
        </w:rPr>
      </w:pPr>
    </w:p>
    <w:p w:rsidR="00010D1F" w:rsidRPr="00010D1F" w:rsidRDefault="00010D1F" w:rsidP="00010D1F">
      <w:pPr>
        <w:spacing w:line="200" w:lineRule="exact"/>
        <w:jc w:val="both"/>
        <w:rPr>
          <w:rFonts w:ascii="Calibri" w:eastAsia="Calibri" w:hAnsi="Calibri" w:cs="Calibri"/>
          <w:sz w:val="18"/>
        </w:rPr>
      </w:pPr>
      <w:r>
        <w:rPr>
          <w:rFonts w:ascii="Calibri" w:eastAsia="Calibri" w:hAnsi="Calibri" w:cs="Calibri"/>
          <w:sz w:val="18"/>
        </w:rPr>
        <w:t xml:space="preserve">7. </w:t>
      </w:r>
      <w:r w:rsidRPr="00010D1F">
        <w:rPr>
          <w:rFonts w:ascii="Calibri" w:eastAsia="Calibri" w:hAnsi="Calibri" w:cs="Calibri"/>
          <w:sz w:val="18"/>
        </w:rPr>
        <w:t xml:space="preserve">Dewey, T., et.al. (2010). Effect of Concomitant Coronary Artery Disease on Procedural and Late Outcomes of </w:t>
      </w:r>
      <w:proofErr w:type="spellStart"/>
      <w:r w:rsidRPr="00010D1F">
        <w:rPr>
          <w:rFonts w:ascii="Calibri" w:eastAsia="Calibri" w:hAnsi="Calibri" w:cs="Calibri"/>
          <w:sz w:val="18"/>
        </w:rPr>
        <w:t>Transcatheter</w:t>
      </w:r>
      <w:proofErr w:type="spellEnd"/>
      <w:r w:rsidRPr="00010D1F">
        <w:rPr>
          <w:rFonts w:ascii="Calibri" w:eastAsia="Calibri" w:hAnsi="Calibri" w:cs="Calibri"/>
          <w:sz w:val="18"/>
        </w:rPr>
        <w:t xml:space="preserve"> Aortic Valve </w:t>
      </w:r>
      <w:r w:rsidRPr="00010D1F">
        <w:rPr>
          <w:rFonts w:ascii="Calibri" w:eastAsia="Calibri" w:hAnsi="Calibri" w:cs="Calibri"/>
          <w:sz w:val="18"/>
        </w:rPr>
        <w:lastRenderedPageBreak/>
        <w:t>Implantation. Annals Thoracic Surgery.</w:t>
      </w:r>
    </w:p>
    <w:p w:rsidR="00010D1F" w:rsidRPr="00010D1F" w:rsidRDefault="00010D1F" w:rsidP="00010D1F">
      <w:pPr>
        <w:spacing w:line="200" w:lineRule="exact"/>
        <w:jc w:val="both"/>
        <w:rPr>
          <w:rFonts w:ascii="Calibri" w:eastAsia="Calibri" w:hAnsi="Calibri" w:cs="Calibri"/>
          <w:sz w:val="18"/>
        </w:rPr>
      </w:pPr>
    </w:p>
    <w:p w:rsidR="00010D1F" w:rsidRPr="00010D1F" w:rsidRDefault="00010D1F" w:rsidP="00010D1F">
      <w:pPr>
        <w:spacing w:line="200" w:lineRule="exact"/>
        <w:jc w:val="both"/>
        <w:rPr>
          <w:rFonts w:ascii="Calibri" w:eastAsia="Calibri" w:hAnsi="Calibri" w:cs="Calibri"/>
          <w:sz w:val="18"/>
        </w:rPr>
      </w:pPr>
      <w:r>
        <w:rPr>
          <w:rFonts w:ascii="Calibri" w:eastAsia="Calibri" w:hAnsi="Calibri" w:cs="Calibri"/>
          <w:sz w:val="18"/>
        </w:rPr>
        <w:t xml:space="preserve">8. </w:t>
      </w:r>
      <w:proofErr w:type="spellStart"/>
      <w:r w:rsidRPr="00010D1F">
        <w:rPr>
          <w:rFonts w:ascii="Calibri" w:eastAsia="Calibri" w:hAnsi="Calibri" w:cs="Calibri"/>
          <w:sz w:val="18"/>
        </w:rPr>
        <w:t>Wiegerinck</w:t>
      </w:r>
      <w:proofErr w:type="spellEnd"/>
      <w:r w:rsidRPr="00010D1F">
        <w:rPr>
          <w:rFonts w:ascii="Calibri" w:eastAsia="Calibri" w:hAnsi="Calibri" w:cs="Calibri"/>
          <w:sz w:val="18"/>
        </w:rPr>
        <w:t xml:space="preserve">, E., et.al. (2013). Hybrid coronary artery bypass grafting and transaortic </w:t>
      </w:r>
      <w:proofErr w:type="spellStart"/>
      <w:r w:rsidRPr="00010D1F">
        <w:rPr>
          <w:rFonts w:ascii="Calibri" w:eastAsia="Calibri" w:hAnsi="Calibri" w:cs="Calibri"/>
          <w:sz w:val="18"/>
        </w:rPr>
        <w:t>transcatheter</w:t>
      </w:r>
      <w:proofErr w:type="spellEnd"/>
      <w:r w:rsidRPr="00010D1F">
        <w:rPr>
          <w:rFonts w:ascii="Calibri" w:eastAsia="Calibri" w:hAnsi="Calibri" w:cs="Calibri"/>
          <w:sz w:val="18"/>
        </w:rPr>
        <w:t xml:space="preserve"> aortic valve implantation. The Journal of Thoracic and Cardiovascular Surgery, 145:600-2.</w:t>
      </w:r>
    </w:p>
    <w:p w:rsidR="00010D1F" w:rsidRPr="00010D1F" w:rsidRDefault="00010D1F" w:rsidP="00010D1F">
      <w:pPr>
        <w:spacing w:line="200" w:lineRule="exact"/>
        <w:jc w:val="both"/>
        <w:rPr>
          <w:rFonts w:ascii="Calibri" w:eastAsia="Calibri" w:hAnsi="Calibri" w:cs="Calibri"/>
          <w:sz w:val="18"/>
        </w:rPr>
      </w:pPr>
    </w:p>
    <w:p w:rsidR="00010D1F" w:rsidRPr="00010D1F" w:rsidRDefault="00010D1F" w:rsidP="00010D1F">
      <w:pPr>
        <w:spacing w:line="200" w:lineRule="exact"/>
        <w:jc w:val="both"/>
        <w:rPr>
          <w:rFonts w:ascii="Calibri" w:eastAsia="Calibri" w:hAnsi="Calibri" w:cs="Calibri"/>
          <w:sz w:val="18"/>
        </w:rPr>
      </w:pPr>
      <w:r>
        <w:rPr>
          <w:rFonts w:ascii="Calibri" w:eastAsia="Calibri" w:hAnsi="Calibri" w:cs="Calibri"/>
          <w:sz w:val="18"/>
        </w:rPr>
        <w:t xml:space="preserve">9. </w:t>
      </w:r>
      <w:r w:rsidRPr="00010D1F">
        <w:rPr>
          <w:rFonts w:ascii="Calibri" w:eastAsia="Calibri" w:hAnsi="Calibri" w:cs="Calibri"/>
          <w:sz w:val="18"/>
        </w:rPr>
        <w:t xml:space="preserve">Nishimura, RA., et al. (2014) AHA/ACC Guideline for the Management of Patients with </w:t>
      </w:r>
      <w:proofErr w:type="spellStart"/>
      <w:r w:rsidRPr="00010D1F">
        <w:rPr>
          <w:rFonts w:ascii="Calibri" w:eastAsia="Calibri" w:hAnsi="Calibri" w:cs="Calibri"/>
          <w:sz w:val="18"/>
        </w:rPr>
        <w:t>Valvular</w:t>
      </w:r>
      <w:proofErr w:type="spellEnd"/>
      <w:r w:rsidRPr="00010D1F">
        <w:rPr>
          <w:rFonts w:ascii="Calibri" w:eastAsia="Calibri" w:hAnsi="Calibri" w:cs="Calibri"/>
          <w:sz w:val="18"/>
        </w:rPr>
        <w:t xml:space="preserve"> Heart Disease. Circulation, 129:000–000.</w:t>
      </w:r>
    </w:p>
    <w:p w:rsidR="00010D1F" w:rsidRPr="00010D1F" w:rsidRDefault="00010D1F" w:rsidP="00010D1F">
      <w:pPr>
        <w:spacing w:line="200" w:lineRule="exact"/>
        <w:jc w:val="both"/>
        <w:rPr>
          <w:rFonts w:ascii="Calibri" w:eastAsia="Calibri" w:hAnsi="Calibri" w:cs="Calibri"/>
          <w:sz w:val="18"/>
        </w:rPr>
      </w:pPr>
    </w:p>
    <w:p w:rsidR="00010D1F" w:rsidRPr="00010D1F" w:rsidRDefault="00010D1F" w:rsidP="00010D1F">
      <w:pPr>
        <w:spacing w:line="200" w:lineRule="exact"/>
        <w:jc w:val="both"/>
        <w:rPr>
          <w:rFonts w:ascii="Calibri" w:eastAsia="Calibri" w:hAnsi="Calibri" w:cs="Calibri"/>
          <w:sz w:val="18"/>
        </w:rPr>
      </w:pPr>
      <w:r>
        <w:rPr>
          <w:rFonts w:ascii="Calibri" w:eastAsia="Calibri" w:hAnsi="Calibri" w:cs="Calibri"/>
          <w:sz w:val="18"/>
        </w:rPr>
        <w:t xml:space="preserve">10. </w:t>
      </w:r>
      <w:r w:rsidRPr="00010D1F">
        <w:rPr>
          <w:rFonts w:ascii="Calibri" w:eastAsia="Calibri" w:hAnsi="Calibri" w:cs="Calibri"/>
          <w:sz w:val="18"/>
        </w:rPr>
        <w:t xml:space="preserve">Gillard, M. et.al. (2012). Registry of </w:t>
      </w:r>
      <w:proofErr w:type="spellStart"/>
      <w:r w:rsidRPr="00010D1F">
        <w:rPr>
          <w:rFonts w:ascii="Calibri" w:eastAsia="Calibri" w:hAnsi="Calibri" w:cs="Calibri"/>
          <w:sz w:val="18"/>
        </w:rPr>
        <w:t>Transcatheter</w:t>
      </w:r>
      <w:proofErr w:type="spellEnd"/>
      <w:r w:rsidRPr="00010D1F">
        <w:rPr>
          <w:rFonts w:ascii="Calibri" w:eastAsia="Calibri" w:hAnsi="Calibri" w:cs="Calibri"/>
          <w:sz w:val="18"/>
        </w:rPr>
        <w:t xml:space="preserve"> Aortic-Valve Implantation in High-Risk Patients. The New England Journal of Medicine, 366(18):1705-15.</w:t>
      </w:r>
    </w:p>
    <w:p w:rsidR="00010D1F" w:rsidRPr="00010D1F" w:rsidRDefault="00010D1F" w:rsidP="00010D1F">
      <w:pPr>
        <w:spacing w:line="200" w:lineRule="exact"/>
        <w:jc w:val="both"/>
        <w:rPr>
          <w:rFonts w:ascii="Calibri" w:eastAsia="Calibri" w:hAnsi="Calibri" w:cs="Calibri"/>
          <w:sz w:val="18"/>
        </w:rPr>
      </w:pPr>
    </w:p>
    <w:p w:rsidR="00010D1F" w:rsidRPr="00010D1F" w:rsidRDefault="00010D1F" w:rsidP="00010D1F">
      <w:pPr>
        <w:spacing w:line="200" w:lineRule="exact"/>
        <w:jc w:val="both"/>
        <w:rPr>
          <w:rFonts w:ascii="Calibri" w:eastAsia="Calibri" w:hAnsi="Calibri" w:cs="Calibri"/>
          <w:sz w:val="18"/>
        </w:rPr>
      </w:pPr>
      <w:r>
        <w:rPr>
          <w:rFonts w:ascii="Calibri" w:eastAsia="Calibri" w:hAnsi="Calibri" w:cs="Calibri"/>
          <w:sz w:val="18"/>
        </w:rPr>
        <w:t xml:space="preserve">11. </w:t>
      </w:r>
      <w:proofErr w:type="spellStart"/>
      <w:r w:rsidRPr="00010D1F">
        <w:rPr>
          <w:rFonts w:ascii="Calibri" w:eastAsia="Calibri" w:hAnsi="Calibri" w:cs="Calibri"/>
          <w:sz w:val="18"/>
        </w:rPr>
        <w:t>Puskas</w:t>
      </w:r>
      <w:proofErr w:type="spellEnd"/>
      <w:r w:rsidRPr="00010D1F">
        <w:rPr>
          <w:rFonts w:ascii="Calibri" w:eastAsia="Calibri" w:hAnsi="Calibri" w:cs="Calibri"/>
          <w:sz w:val="18"/>
        </w:rPr>
        <w:t>, JD, et.al. (2009). Off-pump coronary artery bypass disproportionately benefits high-risk patients. Annals Thoracic Surgery, 88(4):1142-7.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PH" w:eastAsia="en-PH"/>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6C45A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010D1F" w:rsidP="00404E5B">
      <w:pPr>
        <w:spacing w:before="92"/>
        <w:ind w:right="4234"/>
        <w:rPr>
          <w:rFonts w:ascii="Arial"/>
        </w:rPr>
      </w:pPr>
      <w:r>
        <w:rPr>
          <w:noProof/>
        </w:rPr>
        <w:t xml:space="preserve">  </w:t>
      </w:r>
      <w:r>
        <w:rPr>
          <w:noProof/>
          <w:lang w:val="en-PH" w:eastAsia="en-PH"/>
        </w:rPr>
        <w:drawing>
          <wp:inline distT="0" distB="0" distL="0" distR="0">
            <wp:extent cx="1028521" cy="1038860"/>
            <wp:effectExtent l="0" t="0" r="635" b="8890"/>
            <wp:docPr id="4" name="Picture 4" descr="C:\Users\nayacordero\AppData\Local\Microsoft\Windows\INetCacheContent.Word\id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yacordero\AppData\Local\Microsoft\Windows\INetCacheContent.Word\idpic.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33042" cy="1043426"/>
                    </a:xfrm>
                    <a:prstGeom prst="rect">
                      <a:avLst/>
                    </a:prstGeom>
                    <a:noFill/>
                    <a:ln>
                      <a:noFill/>
                    </a:ln>
                  </pic:spPr>
                </pic:pic>
              </a:graphicData>
            </a:graphic>
          </wp:inline>
        </w:drawing>
      </w:r>
      <w:r>
        <w:rPr>
          <w:noProof/>
        </w:rPr>
        <w:t xml:space="preserve"> </w:t>
      </w:r>
      <w:r w:rsidR="00A9710C">
        <w:rPr>
          <w:rFonts w:ascii="Arial"/>
          <w:color w:val="BF5A14"/>
        </w:rPr>
        <w:t>Biography</w:t>
      </w:r>
      <w:r>
        <w:rPr>
          <w:rFonts w:ascii="Arial"/>
          <w:color w:val="BF5A14"/>
        </w:rPr>
        <w:t xml:space="preserve"> </w:t>
      </w:r>
    </w:p>
    <w:p w:rsidR="00AE3E37" w:rsidRDefault="00010D1F">
      <w:pPr>
        <w:spacing w:before="41" w:line="154" w:lineRule="exact"/>
        <w:ind w:left="213" w:right="231"/>
        <w:jc w:val="both"/>
        <w:rPr>
          <w:rFonts w:ascii="Arial"/>
          <w:sz w:val="14"/>
        </w:rPr>
      </w:pPr>
      <w:proofErr w:type="spellStart"/>
      <w:r>
        <w:rPr>
          <w:rFonts w:ascii="Arial"/>
          <w:sz w:val="14"/>
        </w:rPr>
        <w:t>Alinaya</w:t>
      </w:r>
      <w:proofErr w:type="spellEnd"/>
      <w:r>
        <w:rPr>
          <w:rFonts w:ascii="Arial"/>
          <w:sz w:val="14"/>
        </w:rPr>
        <w:t xml:space="preserve"> Cordero is an incoming senior and chief cardiology fellow in St. Luke</w:t>
      </w:r>
      <w:r>
        <w:rPr>
          <w:rFonts w:ascii="Arial"/>
          <w:sz w:val="14"/>
        </w:rPr>
        <w:t>’</w:t>
      </w:r>
      <w:r>
        <w:rPr>
          <w:rFonts w:ascii="Arial"/>
          <w:sz w:val="14"/>
        </w:rPr>
        <w:t xml:space="preserve">s Medical Center, Global City, Philippines. She is </w:t>
      </w:r>
      <w:r w:rsidR="00627A42">
        <w:rPr>
          <w:rFonts w:ascii="Arial"/>
          <w:sz w:val="14"/>
        </w:rPr>
        <w:t>planning to pursue studies in echocardiography.</w:t>
      </w:r>
    </w:p>
    <w:p w:rsidR="00AE3E37" w:rsidRDefault="00A9710C">
      <w:pPr>
        <w:spacing w:before="62"/>
        <w:ind w:left="4217" w:right="4235"/>
        <w:jc w:val="center"/>
        <w:rPr>
          <w:rStyle w:val="Hyperlink"/>
          <w:rFonts w:ascii="Arial"/>
          <w:sz w:val="14"/>
        </w:rPr>
      </w:pPr>
      <w:r>
        <w:rPr>
          <w:rFonts w:ascii="Arial"/>
          <w:sz w:val="14"/>
        </w:rPr>
        <w:t xml:space="preserve">Email: </w:t>
      </w:r>
      <w:hyperlink r:id="rId14" w:history="1">
        <w:r w:rsidR="00627A42" w:rsidRPr="00B841B0">
          <w:rPr>
            <w:rStyle w:val="Hyperlink"/>
            <w:rFonts w:ascii="Arial"/>
            <w:sz w:val="14"/>
          </w:rPr>
          <w:t>alinayacordero@gmail.com</w:t>
        </w:r>
      </w:hyperlink>
    </w:p>
    <w:p w:rsidR="00AE3E37" w:rsidRPr="00627A42" w:rsidRDefault="00827B1F" w:rsidP="00627A42">
      <w:pPr>
        <w:spacing w:before="62"/>
        <w:ind w:left="4217" w:right="4235"/>
        <w:jc w:val="center"/>
        <w:rPr>
          <w:rFonts w:ascii="Arial"/>
          <w:sz w:val="14"/>
        </w:rPr>
      </w:pPr>
      <w:r w:rsidRPr="00827B1F">
        <w:rPr>
          <w:rStyle w:val="Hyperlink"/>
          <w:rFonts w:ascii="Arial"/>
          <w:color w:val="auto"/>
          <w:sz w:val="14"/>
          <w:u w:val="none"/>
        </w:rPr>
        <w:t xml:space="preserve">Phone: </w:t>
      </w:r>
      <w:r w:rsidR="00627A42">
        <w:rPr>
          <w:rStyle w:val="Hyperlink"/>
          <w:rFonts w:ascii="Arial"/>
          <w:color w:val="auto"/>
          <w:sz w:val="14"/>
          <w:u w:val="none"/>
        </w:rPr>
        <w:t>+</w:t>
      </w:r>
      <w:r w:rsidR="00292ED9">
        <w:rPr>
          <w:noProof/>
          <w:lang w:val="en-PH" w:eastAsia="en-PH"/>
        </w:rPr>
        <mc:AlternateContent>
          <mc:Choice Requires="wps">
            <w:drawing>
              <wp:anchor distT="0" distB="0" distL="0" distR="0" simplePos="0" relativeHeight="251650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70A12" id="Line 3"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627A42">
        <w:rPr>
          <w:rStyle w:val="Hyperlink"/>
          <w:rFonts w:ascii="Arial"/>
          <w:color w:val="auto"/>
          <w:sz w:val="14"/>
          <w:u w:val="none"/>
        </w:rPr>
        <w:t>639178688975</w: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3CA" w:rsidRDefault="008643CA">
      <w:r>
        <w:separator/>
      </w:r>
    </w:p>
  </w:endnote>
  <w:endnote w:type="continuationSeparator" w:id="0">
    <w:p w:rsidR="008643CA" w:rsidRDefault="00864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PH" w:eastAsia="en-PH"/>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PH" w:eastAsia="en-PH"/>
      </w:rPr>
      <mc:AlternateContent>
        <mc:Choice Requires="wps">
          <w:drawing>
            <wp:anchor distT="0" distB="0" distL="114300" distR="114300" simplePos="0" relativeHeight="25165824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PH" w:eastAsia="en-PH"/>
      </w:rPr>
      <mc:AlternateContent>
        <mc:Choice Requires="wps">
          <w:drawing>
            <wp:anchor distT="0" distB="0" distL="114300" distR="114300" simplePos="0" relativeHeight="251660288"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3CA" w:rsidRDefault="008643CA">
      <w:r>
        <w:separator/>
      </w:r>
    </w:p>
  </w:footnote>
  <w:footnote w:type="continuationSeparator" w:id="0">
    <w:p w:rsidR="008643CA" w:rsidRDefault="00864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PH" w:eastAsia="en-PH"/>
      </w:rPr>
      <mc:AlternateContent>
        <mc:Choice Requires="wps">
          <w:drawing>
            <wp:anchor distT="0" distB="0" distL="114300" distR="114300" simplePos="0" relativeHeight="25165414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89F4FA6"/>
    <w:multiLevelType w:val="hybridMultilevel"/>
    <w:tmpl w:val="B9CEAB5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0D1F"/>
    <w:rsid w:val="000642C6"/>
    <w:rsid w:val="00065718"/>
    <w:rsid w:val="000E2911"/>
    <w:rsid w:val="001263DF"/>
    <w:rsid w:val="002220FB"/>
    <w:rsid w:val="00292ED9"/>
    <w:rsid w:val="00404E5B"/>
    <w:rsid w:val="00414F7B"/>
    <w:rsid w:val="004355DC"/>
    <w:rsid w:val="004749B4"/>
    <w:rsid w:val="00494130"/>
    <w:rsid w:val="004F3523"/>
    <w:rsid w:val="005973B9"/>
    <w:rsid w:val="005B3A56"/>
    <w:rsid w:val="006060CE"/>
    <w:rsid w:val="00627A42"/>
    <w:rsid w:val="0063497F"/>
    <w:rsid w:val="006910C5"/>
    <w:rsid w:val="006D4065"/>
    <w:rsid w:val="006F3BE3"/>
    <w:rsid w:val="00827B1F"/>
    <w:rsid w:val="008643CA"/>
    <w:rsid w:val="00873DF0"/>
    <w:rsid w:val="008756E6"/>
    <w:rsid w:val="009B2D44"/>
    <w:rsid w:val="00A07E82"/>
    <w:rsid w:val="00A9710C"/>
    <w:rsid w:val="00AD2FA5"/>
    <w:rsid w:val="00AE3E37"/>
    <w:rsid w:val="00B14E61"/>
    <w:rsid w:val="00B21A57"/>
    <w:rsid w:val="00BA4D54"/>
    <w:rsid w:val="00C27754"/>
    <w:rsid w:val="00C33602"/>
    <w:rsid w:val="00C667AF"/>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0705B9"/>
  <w15:docId w15:val="{DED8966F-04C3-4EEA-9BE3-F4D767CA5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alinayacorder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787</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Alinaya Cordero</cp:lastModifiedBy>
  <cp:revision>2</cp:revision>
  <dcterms:created xsi:type="dcterms:W3CDTF">2017-02-21T22:54:00Z</dcterms:created>
  <dcterms:modified xsi:type="dcterms:W3CDTF">2017-02-21T22:54:00Z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