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438" w:rsidRPr="00BB0438" w:rsidRDefault="00BB0438" w:rsidP="00BB0438">
      <w:pPr>
        <w:pStyle w:val="Heading1"/>
        <w:spacing w:before="170"/>
        <w:ind w:left="0"/>
        <w:rPr>
          <w:color w:val="337AB7"/>
        </w:rPr>
      </w:pPr>
      <w:r w:rsidRPr="00BB0438">
        <w:rPr>
          <w:color w:val="337AB7"/>
        </w:rPr>
        <w:t xml:space="preserve">Real-world Outcomes Associated with Lomitapide Use in Patients with Homozygous Familial Hypercholesterolemia: A Retrospective Database Analysis </w:t>
      </w:r>
    </w:p>
    <w:p w:rsidR="00BB0438" w:rsidRDefault="00BB0438" w:rsidP="00BB0438">
      <w:pPr>
        <w:spacing w:line="276" w:lineRule="auto"/>
        <w:rPr>
          <w:rFonts w:ascii="Arial" w:hAnsi="Arial" w:cs="Arial"/>
        </w:rPr>
      </w:pPr>
    </w:p>
    <w:p w:rsidR="00BB0438" w:rsidRPr="00822382" w:rsidRDefault="00BB0438" w:rsidP="00BB0438">
      <w:pPr>
        <w:spacing w:line="276" w:lineRule="auto"/>
        <w:rPr>
          <w:rFonts w:ascii="Arial" w:hAnsi="Arial" w:cs="Arial"/>
          <w:sz w:val="18"/>
        </w:rPr>
      </w:pPr>
      <w:r w:rsidRPr="00822382">
        <w:rPr>
          <w:rFonts w:ascii="Arial" w:hAnsi="Arial" w:cs="Arial"/>
          <w:sz w:val="18"/>
        </w:rPr>
        <w:t>Authors: Ruo-Ding Tan</w:t>
      </w:r>
      <w:r w:rsidRPr="00822382">
        <w:rPr>
          <w:rFonts w:ascii="Arial" w:hAnsi="Arial" w:cs="Arial"/>
          <w:sz w:val="18"/>
          <w:vertAlign w:val="superscript"/>
        </w:rPr>
        <w:t>1</w:t>
      </w:r>
      <w:r w:rsidRPr="00822382">
        <w:rPr>
          <w:rFonts w:ascii="Arial" w:hAnsi="Arial" w:cs="Arial"/>
          <w:sz w:val="18"/>
        </w:rPr>
        <w:t>, Qinghao.Peng</w:t>
      </w:r>
      <w:r w:rsidRPr="00822382">
        <w:rPr>
          <w:rFonts w:ascii="Arial" w:hAnsi="Arial" w:cs="Arial"/>
          <w:sz w:val="18"/>
          <w:vertAlign w:val="superscript"/>
        </w:rPr>
        <w:t>1</w:t>
      </w:r>
      <w:r w:rsidRPr="00822382">
        <w:rPr>
          <w:rFonts w:ascii="Arial" w:hAnsi="Arial" w:cs="Arial"/>
          <w:sz w:val="18"/>
        </w:rPr>
        <w:t>, Christian Frois</w:t>
      </w:r>
      <w:r w:rsidRPr="00822382">
        <w:rPr>
          <w:rFonts w:ascii="Arial" w:hAnsi="Arial" w:cs="Arial"/>
          <w:sz w:val="18"/>
          <w:vertAlign w:val="superscript"/>
        </w:rPr>
        <w:t>1</w:t>
      </w:r>
      <w:r w:rsidRPr="00822382">
        <w:rPr>
          <w:rFonts w:ascii="Arial" w:hAnsi="Arial" w:cs="Arial"/>
          <w:sz w:val="18"/>
        </w:rPr>
        <w:t>, Taylor Salinardi</w:t>
      </w:r>
      <w:r w:rsidRPr="00822382">
        <w:rPr>
          <w:rFonts w:ascii="Arial" w:hAnsi="Arial" w:cs="Arial"/>
          <w:sz w:val="18"/>
          <w:vertAlign w:val="superscript"/>
        </w:rPr>
        <w:t>2</w:t>
      </w:r>
      <w:r w:rsidRPr="00822382">
        <w:rPr>
          <w:rFonts w:ascii="Arial" w:hAnsi="Arial" w:cs="Arial"/>
          <w:sz w:val="18"/>
        </w:rPr>
        <w:t>, Eliot A.Brinton</w:t>
      </w:r>
      <w:r w:rsidRPr="00822382">
        <w:rPr>
          <w:rFonts w:ascii="Arial" w:hAnsi="Arial" w:cs="Arial"/>
          <w:sz w:val="18"/>
          <w:vertAlign w:val="superscript"/>
        </w:rPr>
        <w:t>3</w:t>
      </w:r>
    </w:p>
    <w:p w:rsidR="00BB0438" w:rsidRPr="00822382" w:rsidRDefault="00BB0438" w:rsidP="00BB0438">
      <w:pPr>
        <w:spacing w:line="276" w:lineRule="auto"/>
        <w:rPr>
          <w:rFonts w:ascii="Arial" w:hAnsi="Arial" w:cs="Arial"/>
          <w:sz w:val="18"/>
          <w:vertAlign w:val="superscript"/>
        </w:rPr>
      </w:pPr>
      <w:r w:rsidRPr="00822382">
        <w:rPr>
          <w:rFonts w:ascii="Arial" w:hAnsi="Arial" w:cs="Arial"/>
          <w:sz w:val="18"/>
          <w:vertAlign w:val="superscript"/>
        </w:rPr>
        <w:t>1</w:t>
      </w:r>
      <w:r w:rsidRPr="00822382">
        <w:rPr>
          <w:rFonts w:ascii="Arial" w:hAnsi="Arial" w:cs="Arial"/>
          <w:sz w:val="18"/>
        </w:rPr>
        <w:t xml:space="preserve">Analysis Group, Boston, MA, USA; </w:t>
      </w:r>
      <w:r w:rsidRPr="00822382">
        <w:rPr>
          <w:rFonts w:ascii="Arial" w:hAnsi="Arial" w:cs="Arial"/>
          <w:sz w:val="18"/>
          <w:vertAlign w:val="superscript"/>
        </w:rPr>
        <w:t>2</w:t>
      </w:r>
      <w:r w:rsidRPr="00822382">
        <w:rPr>
          <w:rFonts w:ascii="Arial" w:hAnsi="Arial" w:cs="Arial"/>
          <w:sz w:val="18"/>
          <w:shd w:val="clear" w:color="auto" w:fill="FFFFFF"/>
        </w:rPr>
        <w:t>Aegerion (</w:t>
      </w:r>
      <w:proofErr w:type="spellStart"/>
      <w:r w:rsidRPr="00822382">
        <w:rPr>
          <w:rFonts w:ascii="Arial" w:hAnsi="Arial" w:cs="Arial"/>
          <w:sz w:val="18"/>
          <w:shd w:val="clear" w:color="auto" w:fill="FFFFFF"/>
        </w:rPr>
        <w:t>N</w:t>
      </w:r>
      <w:r w:rsidRPr="00822382">
        <w:rPr>
          <w:rFonts w:ascii="Arial" w:hAnsi="Arial" w:cs="Arial"/>
          <w:sz w:val="18"/>
        </w:rPr>
        <w:t>ovelion</w:t>
      </w:r>
      <w:proofErr w:type="spellEnd"/>
      <w:r w:rsidRPr="00822382">
        <w:rPr>
          <w:rFonts w:ascii="Arial" w:hAnsi="Arial" w:cs="Arial"/>
          <w:sz w:val="18"/>
        </w:rPr>
        <w:t>) Therapeutics, Boston, MA, USA;</w:t>
      </w:r>
      <w:r w:rsidRPr="00822382">
        <w:rPr>
          <w:rFonts w:ascii="Arial" w:hAnsi="Arial" w:cs="Arial"/>
          <w:sz w:val="18"/>
          <w:vertAlign w:val="superscript"/>
        </w:rPr>
        <w:t xml:space="preserve"> 3 </w:t>
      </w:r>
      <w:r w:rsidRPr="00822382">
        <w:rPr>
          <w:rFonts w:ascii="Arial" w:hAnsi="Arial" w:cs="Arial"/>
          <w:sz w:val="18"/>
        </w:rPr>
        <w:t>Utah Lipid Center, Salt Lake City, UT, USA</w:t>
      </w:r>
    </w:p>
    <w:p w:rsidR="00BB0438" w:rsidRDefault="00BB0438"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8A07DB">
      <w:pPr>
        <w:pStyle w:val="Heading3"/>
        <w:spacing w:before="74"/>
      </w:pPr>
      <w:r w:rsidRPr="008A07DB">
        <w:rPr>
          <w:rFonts w:ascii="Tw Cen MT" w:eastAsia="Tw Cen MT" w:hAnsi="Tw Cen MT" w:cs="Tw Cen MT"/>
          <w:bCs w:val="0"/>
          <w:sz w:val="18"/>
          <w:szCs w:val="18"/>
        </w:rPr>
        <w:t>Statement of the Problem</w:t>
      </w:r>
      <w:r w:rsidRPr="008A07DB">
        <w:rPr>
          <w:rFonts w:ascii="Tw Cen MT" w:eastAsia="Tw Cen MT" w:hAnsi="Tw Cen MT" w:cs="Tw Cen MT"/>
          <w:b w:val="0"/>
          <w:bCs w:val="0"/>
          <w:sz w:val="18"/>
          <w:szCs w:val="18"/>
        </w:rPr>
        <w:t>: Homozygous familial hypercholesterolemia (HoFH) is ultra-rare and hard to treat, with high LDL-C and premature major adverse cardiovascular events (MACE). No randomize</w:t>
      </w:r>
      <w:r w:rsidR="00085723">
        <w:rPr>
          <w:rFonts w:ascii="Tw Cen MT" w:eastAsia="Tw Cen MT" w:hAnsi="Tw Cen MT" w:cs="Tw Cen MT"/>
          <w:b w:val="0"/>
          <w:bCs w:val="0"/>
          <w:sz w:val="18"/>
          <w:szCs w:val="18"/>
        </w:rPr>
        <w:t>d</w:t>
      </w:r>
      <w:r w:rsidRPr="008A07DB">
        <w:rPr>
          <w:rFonts w:ascii="Tw Cen MT" w:eastAsia="Tw Cen MT" w:hAnsi="Tw Cen MT" w:cs="Tw Cen MT"/>
          <w:b w:val="0"/>
          <w:bCs w:val="0"/>
          <w:sz w:val="18"/>
          <w:szCs w:val="18"/>
        </w:rPr>
        <w:t xml:space="preserve"> trials, few real-world studies, and no published lomitapide (LOM) studies address MACE in HoFH, despite LOM being indicated </w:t>
      </w:r>
      <w:r w:rsidR="00DA4FAA" w:rsidRPr="00DA4FAA">
        <w:rPr>
          <w:rFonts w:ascii="Tw Cen MT" w:eastAsia="Tw Cen MT" w:hAnsi="Tw Cen MT" w:cs="Tw Cen MT"/>
          <w:b w:val="0"/>
          <w:bCs w:val="0"/>
          <w:sz w:val="18"/>
          <w:szCs w:val="18"/>
        </w:rPr>
        <w:t>as an adjunct therapy to diet and other lipid-</w:t>
      </w:r>
      <w:bookmarkStart w:id="0" w:name="_GoBack"/>
      <w:bookmarkEnd w:id="0"/>
      <w:r w:rsidR="00DA4FAA" w:rsidRPr="00DA4FAA">
        <w:rPr>
          <w:rFonts w:ascii="Tw Cen MT" w:eastAsia="Tw Cen MT" w:hAnsi="Tw Cen MT" w:cs="Tw Cen MT"/>
          <w:b w:val="0"/>
          <w:bCs w:val="0"/>
          <w:sz w:val="18"/>
          <w:szCs w:val="18"/>
        </w:rPr>
        <w:t>lowering treatments for HoFH</w:t>
      </w:r>
      <w:r w:rsidRPr="008A07DB">
        <w:rPr>
          <w:rFonts w:ascii="Tw Cen MT" w:eastAsia="Tw Cen MT" w:hAnsi="Tw Cen MT" w:cs="Tw Cen MT"/>
          <w:b w:val="0"/>
          <w:bCs w:val="0"/>
          <w:sz w:val="18"/>
          <w:szCs w:val="18"/>
        </w:rPr>
        <w:t xml:space="preserve">. This study presents for the first time MACE rates in LOM-treated patients. </w:t>
      </w:r>
      <w:r w:rsidRPr="00F15E94">
        <w:rPr>
          <w:rFonts w:ascii="Tw Cen MT" w:eastAsia="Tw Cen MT" w:hAnsi="Tw Cen MT" w:cs="Tw Cen MT"/>
          <w:bCs w:val="0"/>
          <w:sz w:val="18"/>
          <w:szCs w:val="18"/>
        </w:rPr>
        <w:t>Methodology &amp; Theoretical Orientation:</w:t>
      </w:r>
      <w:r w:rsidRPr="008A07DB">
        <w:rPr>
          <w:rFonts w:ascii="Tw Cen MT" w:eastAsia="Tw Cen MT" w:hAnsi="Tw Cen MT" w:cs="Tw Cen MT"/>
          <w:b w:val="0"/>
          <w:bCs w:val="0"/>
          <w:sz w:val="18"/>
          <w:szCs w:val="18"/>
        </w:rPr>
        <w:t xml:space="preserve"> </w:t>
      </w:r>
      <w:proofErr w:type="spellStart"/>
      <w:r w:rsidRPr="008A07DB">
        <w:rPr>
          <w:rFonts w:ascii="Tw Cen MT" w:eastAsia="Tw Cen MT" w:hAnsi="Tw Cen MT" w:cs="Tw Cen MT"/>
          <w:b w:val="0"/>
          <w:bCs w:val="0"/>
          <w:sz w:val="18"/>
          <w:szCs w:val="18"/>
        </w:rPr>
        <w:t>Optum</w:t>
      </w:r>
      <w:proofErr w:type="spellEnd"/>
      <w:r w:rsidRPr="008A07DB">
        <w:rPr>
          <w:rFonts w:ascii="Tw Cen MT" w:eastAsia="Tw Cen MT" w:hAnsi="Tw Cen MT" w:cs="Tw Cen MT"/>
          <w:b w:val="0"/>
          <w:bCs w:val="0"/>
          <w:sz w:val="18"/>
          <w:szCs w:val="18"/>
        </w:rPr>
        <w:t xml:space="preserve"> claims data (2012-2016, ~25 million covered lives) were combined with LDL-C </w:t>
      </w:r>
      <w:r w:rsidR="00F97684" w:rsidRPr="00F97684">
        <w:rPr>
          <w:rFonts w:ascii="Tw Cen MT" w:eastAsia="Tw Cen MT" w:hAnsi="Tw Cen MT" w:cs="Tw Cen MT"/>
          <w:b w:val="0"/>
          <w:bCs w:val="0"/>
          <w:sz w:val="18"/>
          <w:szCs w:val="18"/>
        </w:rPr>
        <w:t xml:space="preserve">from </w:t>
      </w:r>
      <w:proofErr w:type="spellStart"/>
      <w:r w:rsidR="00F97684" w:rsidRPr="00F97684">
        <w:rPr>
          <w:rFonts w:ascii="Tw Cen MT" w:eastAsia="Tw Cen MT" w:hAnsi="Tw Cen MT" w:cs="Tw Cen MT"/>
          <w:b w:val="0"/>
          <w:bCs w:val="0"/>
          <w:sz w:val="18"/>
          <w:szCs w:val="18"/>
        </w:rPr>
        <w:t>Optum</w:t>
      </w:r>
      <w:proofErr w:type="spellEnd"/>
      <w:r w:rsidR="00F97684" w:rsidRPr="00F97684">
        <w:rPr>
          <w:rFonts w:ascii="Tw Cen MT" w:eastAsia="Tw Cen MT" w:hAnsi="Tw Cen MT" w:cs="Tw Cen MT"/>
          <w:b w:val="0"/>
          <w:bCs w:val="0"/>
          <w:sz w:val="18"/>
          <w:szCs w:val="18"/>
        </w:rPr>
        <w:t xml:space="preserve"> </w:t>
      </w:r>
      <w:r w:rsidR="00F97684">
        <w:rPr>
          <w:rFonts w:ascii="Tw Cen MT" w:eastAsia="Tw Cen MT" w:hAnsi="Tw Cen MT" w:cs="Tw Cen MT"/>
          <w:b w:val="0"/>
          <w:bCs w:val="0"/>
          <w:sz w:val="18"/>
          <w:szCs w:val="18"/>
        </w:rPr>
        <w:t>and</w:t>
      </w:r>
      <w:r w:rsidRPr="008A07DB">
        <w:rPr>
          <w:rFonts w:ascii="Tw Cen MT" w:eastAsia="Tw Cen MT" w:hAnsi="Tw Cen MT" w:cs="Tw Cen MT"/>
          <w:b w:val="0"/>
          <w:bCs w:val="0"/>
          <w:sz w:val="18"/>
          <w:szCs w:val="18"/>
        </w:rPr>
        <w:t xml:space="preserve"> a pharmaceutical patient support program. LDL-C, and rates of MACE and hospitali</w:t>
      </w:r>
      <w:r w:rsidR="00F15E94">
        <w:rPr>
          <w:rFonts w:ascii="Tw Cen MT" w:eastAsia="Tw Cen MT" w:hAnsi="Tw Cen MT" w:cs="Tw Cen MT"/>
          <w:b w:val="0"/>
          <w:bCs w:val="0"/>
          <w:sz w:val="18"/>
          <w:szCs w:val="18"/>
        </w:rPr>
        <w:t xml:space="preserve">zation were assessed in HoFH patients for </w:t>
      </w:r>
      <w:r w:rsidRPr="008A07DB">
        <w:rPr>
          <w:rFonts w:ascii="Tw Cen MT" w:eastAsia="Tw Cen MT" w:hAnsi="Tw Cen MT" w:cs="Tw Cen MT"/>
          <w:b w:val="0"/>
          <w:bCs w:val="0"/>
          <w:sz w:val="18"/>
          <w:szCs w:val="18"/>
        </w:rPr>
        <w:t xml:space="preserve">1 year before drug initiation, during LOM treatment, and 1 year after LOM discontinuation (in those who discontinued). Patients were stratified based on LDL-C response to LOM. </w:t>
      </w:r>
      <w:r w:rsidRPr="00F15E94">
        <w:rPr>
          <w:rFonts w:ascii="Tw Cen MT" w:eastAsia="Tw Cen MT" w:hAnsi="Tw Cen MT" w:cs="Tw Cen MT"/>
          <w:bCs w:val="0"/>
          <w:sz w:val="18"/>
          <w:szCs w:val="18"/>
        </w:rPr>
        <w:t>Findings:</w:t>
      </w:r>
      <w:r w:rsidRPr="008A07DB">
        <w:rPr>
          <w:rFonts w:ascii="Tw Cen MT" w:eastAsia="Tw Cen MT" w:hAnsi="Tw Cen MT" w:cs="Tw Cen MT"/>
          <w:b w:val="0"/>
          <w:bCs w:val="0"/>
          <w:sz w:val="18"/>
          <w:szCs w:val="18"/>
        </w:rPr>
        <w:t xml:space="preserve"> 62 </w:t>
      </w:r>
      <w:r w:rsidR="00F15E94">
        <w:rPr>
          <w:rFonts w:ascii="Tw Cen MT" w:eastAsia="Tw Cen MT" w:hAnsi="Tw Cen MT" w:cs="Tw Cen MT"/>
          <w:b w:val="0"/>
          <w:bCs w:val="0"/>
          <w:sz w:val="18"/>
          <w:szCs w:val="18"/>
        </w:rPr>
        <w:t>patients</w:t>
      </w:r>
      <w:r w:rsidRPr="008A07DB">
        <w:rPr>
          <w:rFonts w:ascii="Tw Cen MT" w:eastAsia="Tw Cen MT" w:hAnsi="Tw Cen MT" w:cs="Tw Cen MT"/>
          <w:b w:val="0"/>
          <w:bCs w:val="0"/>
          <w:sz w:val="18"/>
          <w:szCs w:val="18"/>
        </w:rPr>
        <w:t xml:space="preserve"> started LOM and had baseline and follow-up LDL-C. LOM use was associated with LDL-C reductions and a trend to lower hospitalizations and MACE rates. Nearly 2/3 of </w:t>
      </w:r>
      <w:r w:rsidR="00F15E94">
        <w:rPr>
          <w:rFonts w:ascii="Tw Cen MT" w:eastAsia="Tw Cen MT" w:hAnsi="Tw Cen MT" w:cs="Tw Cen MT"/>
          <w:b w:val="0"/>
          <w:bCs w:val="0"/>
          <w:sz w:val="18"/>
          <w:szCs w:val="18"/>
        </w:rPr>
        <w:t>patients</w:t>
      </w:r>
      <w:r w:rsidR="00F15E94" w:rsidRPr="008A07DB">
        <w:rPr>
          <w:rFonts w:ascii="Tw Cen MT" w:eastAsia="Tw Cen MT" w:hAnsi="Tw Cen MT" w:cs="Tw Cen MT"/>
          <w:b w:val="0"/>
          <w:bCs w:val="0"/>
          <w:sz w:val="18"/>
          <w:szCs w:val="18"/>
        </w:rPr>
        <w:t xml:space="preserve"> </w:t>
      </w:r>
      <w:r w:rsidRPr="008A07DB">
        <w:rPr>
          <w:rFonts w:ascii="Tw Cen MT" w:eastAsia="Tw Cen MT" w:hAnsi="Tw Cen MT" w:cs="Tw Cen MT"/>
          <w:b w:val="0"/>
          <w:bCs w:val="0"/>
          <w:sz w:val="18"/>
          <w:szCs w:val="18"/>
        </w:rPr>
        <w:t xml:space="preserve">(40 of 62) had a sustained response to LOM (&gt;10% LDL-C reduction for &gt;60 days), of whom 27 later discontinued LOM, with the expected subsequent worsening of outcomes. </w:t>
      </w:r>
      <w:r w:rsidRPr="00F15E94">
        <w:rPr>
          <w:rFonts w:ascii="Tw Cen MT" w:eastAsia="Tw Cen MT" w:hAnsi="Tw Cen MT" w:cs="Tw Cen MT"/>
          <w:bCs w:val="0"/>
          <w:sz w:val="18"/>
          <w:szCs w:val="18"/>
        </w:rPr>
        <w:t>Conclusion &amp; Significance</w:t>
      </w:r>
      <w:r w:rsidRPr="008A07DB">
        <w:rPr>
          <w:rFonts w:ascii="Tw Cen MT" w:eastAsia="Tw Cen MT" w:hAnsi="Tw Cen MT" w:cs="Tw Cen MT"/>
          <w:b w:val="0"/>
          <w:bCs w:val="0"/>
          <w:sz w:val="18"/>
          <w:szCs w:val="18"/>
        </w:rPr>
        <w:t xml:space="preserve"> </w:t>
      </w:r>
      <w:r w:rsidR="00F15E94" w:rsidRPr="00F15E94">
        <w:rPr>
          <w:rFonts w:ascii="Tw Cen MT" w:eastAsia="Tw Cen MT" w:hAnsi="Tw Cen MT" w:cs="Tw Cen MT"/>
          <w:b w:val="0"/>
          <w:bCs w:val="0"/>
          <w:sz w:val="18"/>
          <w:szCs w:val="18"/>
        </w:rPr>
        <w:t>Consistent with clinical trials, LOM significantly reduces LDL-C in real-world HoFH patients. Although data are limited by the rarity of HoFH, there was clinically meaningful (albeit not statistically significant) decrease in MACE and hospitalization with LOM treatment, and, as expected, there was a trend toward loss of LDL-C and MACE/hospitalization benefits after LOM discontinuation.</w:t>
      </w:r>
      <w:r w:rsidR="00A9710C">
        <w:rPr>
          <w:b w:val="0"/>
        </w:rPr>
        <w:br w:type="column"/>
      </w:r>
      <w:r w:rsidR="00A9710C">
        <w:rPr>
          <w:color w:val="BF5A14"/>
        </w:rPr>
        <w:t>Image</w:t>
      </w:r>
    </w:p>
    <w:p w:rsidR="00AE3E37" w:rsidRDefault="003A2805">
      <w:pPr>
        <w:pStyle w:val="BodyText"/>
        <w:spacing w:before="2"/>
        <w:rPr>
          <w:rFonts w:ascii="Arial"/>
          <w:b/>
          <w:sz w:val="16"/>
        </w:rPr>
      </w:pPr>
      <w:r>
        <w:rPr>
          <w:noProof/>
          <w:lang w:eastAsia="zh-CN"/>
        </w:rPr>
        <w:drawing>
          <wp:inline distT="0" distB="0" distL="0" distR="0" wp14:anchorId="42833F06" wp14:editId="36039457">
            <wp:extent cx="3715052" cy="10500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67607" cy="1064907"/>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 xml:space="preserve">1. </w:t>
      </w:r>
      <w:proofErr w:type="spellStart"/>
      <w:r w:rsidRPr="00655FC9">
        <w:rPr>
          <w:sz w:val="14"/>
        </w:rPr>
        <w:t>Blom</w:t>
      </w:r>
      <w:proofErr w:type="spellEnd"/>
      <w:r w:rsidRPr="00655FC9">
        <w:rPr>
          <w:sz w:val="14"/>
        </w:rPr>
        <w:t xml:space="preserve"> D, </w:t>
      </w:r>
      <w:proofErr w:type="spellStart"/>
      <w:r w:rsidRPr="00655FC9">
        <w:rPr>
          <w:sz w:val="14"/>
        </w:rPr>
        <w:t>Kastelein</w:t>
      </w:r>
      <w:proofErr w:type="spellEnd"/>
      <w:r w:rsidRPr="00655FC9">
        <w:rPr>
          <w:sz w:val="14"/>
        </w:rPr>
        <w:t xml:space="preserve"> JJ, </w:t>
      </w:r>
      <w:proofErr w:type="spellStart"/>
      <w:r w:rsidRPr="00655FC9">
        <w:rPr>
          <w:sz w:val="14"/>
        </w:rPr>
        <w:t>Larrey</w:t>
      </w:r>
      <w:proofErr w:type="spellEnd"/>
      <w:r w:rsidRPr="00655FC9">
        <w:rPr>
          <w:sz w:val="14"/>
        </w:rPr>
        <w:t xml:space="preserve"> D, Makris L, </w:t>
      </w:r>
      <w:proofErr w:type="spellStart"/>
      <w:r w:rsidRPr="00655FC9">
        <w:rPr>
          <w:sz w:val="14"/>
        </w:rPr>
        <w:t>Schwamlein</w:t>
      </w:r>
      <w:proofErr w:type="spellEnd"/>
      <w:r w:rsidRPr="00655FC9">
        <w:rPr>
          <w:sz w:val="14"/>
        </w:rPr>
        <w:t xml:space="preserve"> C, Phillips H, </w:t>
      </w:r>
      <w:proofErr w:type="spellStart"/>
      <w:r w:rsidRPr="00655FC9">
        <w:rPr>
          <w:sz w:val="14"/>
        </w:rPr>
        <w:t>Bloedon</w:t>
      </w:r>
      <w:proofErr w:type="spellEnd"/>
      <w:r w:rsidRPr="00655FC9">
        <w:rPr>
          <w:sz w:val="14"/>
        </w:rPr>
        <w:t xml:space="preserve"> L, Underberg J (2015) Lomitapide Observational Worldwide Evaluation Registry (LOWER): One-Year Data. Circulation 132: A10818.</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 xml:space="preserve">2. Underberg J, Cannon C, </w:t>
      </w:r>
      <w:proofErr w:type="spellStart"/>
      <w:r w:rsidRPr="00655FC9">
        <w:rPr>
          <w:sz w:val="14"/>
        </w:rPr>
        <w:t>Larrey</w:t>
      </w:r>
      <w:proofErr w:type="spellEnd"/>
      <w:r w:rsidRPr="00655FC9">
        <w:rPr>
          <w:sz w:val="14"/>
        </w:rPr>
        <w:t xml:space="preserve"> D, Makris L, </w:t>
      </w:r>
      <w:proofErr w:type="spellStart"/>
      <w:r w:rsidRPr="00655FC9">
        <w:rPr>
          <w:sz w:val="14"/>
        </w:rPr>
        <w:t>Schwamlein</w:t>
      </w:r>
      <w:proofErr w:type="spellEnd"/>
      <w:r w:rsidRPr="00655FC9">
        <w:rPr>
          <w:sz w:val="14"/>
        </w:rPr>
        <w:t xml:space="preserve"> C, Phillips H, </w:t>
      </w:r>
      <w:proofErr w:type="spellStart"/>
      <w:r w:rsidRPr="00655FC9">
        <w:rPr>
          <w:sz w:val="14"/>
        </w:rPr>
        <w:t>Bloeden</w:t>
      </w:r>
      <w:proofErr w:type="spellEnd"/>
      <w:r w:rsidRPr="00655FC9">
        <w:rPr>
          <w:sz w:val="14"/>
        </w:rPr>
        <w:t xml:space="preserve"> L, </w:t>
      </w:r>
      <w:proofErr w:type="spellStart"/>
      <w:r w:rsidRPr="00655FC9">
        <w:rPr>
          <w:sz w:val="14"/>
        </w:rPr>
        <w:t>Blom</w:t>
      </w:r>
      <w:proofErr w:type="spellEnd"/>
      <w:r w:rsidRPr="00655FC9">
        <w:rPr>
          <w:sz w:val="14"/>
        </w:rPr>
        <w:t xml:space="preserve"> D (2016) Global Real-World Data on the Use of Lomitapide in Treating Homozygous Familial Hypercholesterolemia: The Lomitapide Observational Worldwide Evaluation Registry (LOWER), Two-Year Data. Circulation 134:A12117.</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 xml:space="preserve">3. </w:t>
      </w:r>
      <w:proofErr w:type="spellStart"/>
      <w:r w:rsidRPr="00655FC9">
        <w:rPr>
          <w:sz w:val="14"/>
        </w:rPr>
        <w:t>Blom</w:t>
      </w:r>
      <w:proofErr w:type="spellEnd"/>
      <w:r w:rsidRPr="00655FC9">
        <w:rPr>
          <w:sz w:val="14"/>
        </w:rPr>
        <w:t xml:space="preserve"> DJ, </w:t>
      </w:r>
      <w:proofErr w:type="spellStart"/>
      <w:r w:rsidRPr="00655FC9">
        <w:rPr>
          <w:sz w:val="14"/>
        </w:rPr>
        <w:t>Fayad</w:t>
      </w:r>
      <w:proofErr w:type="spellEnd"/>
      <w:r w:rsidRPr="00655FC9">
        <w:rPr>
          <w:sz w:val="14"/>
        </w:rPr>
        <w:t xml:space="preserve"> ZA, </w:t>
      </w:r>
      <w:proofErr w:type="spellStart"/>
      <w:r w:rsidRPr="00655FC9">
        <w:rPr>
          <w:sz w:val="14"/>
        </w:rPr>
        <w:t>Kastelein</w:t>
      </w:r>
      <w:proofErr w:type="spellEnd"/>
      <w:r w:rsidRPr="00655FC9">
        <w:rPr>
          <w:sz w:val="14"/>
        </w:rPr>
        <w:t xml:space="preserve"> JJ, </w:t>
      </w:r>
      <w:proofErr w:type="spellStart"/>
      <w:r w:rsidRPr="00655FC9">
        <w:rPr>
          <w:sz w:val="14"/>
        </w:rPr>
        <w:t>Larrey</w:t>
      </w:r>
      <w:proofErr w:type="spellEnd"/>
      <w:r w:rsidRPr="00655FC9">
        <w:rPr>
          <w:sz w:val="14"/>
        </w:rPr>
        <w:t xml:space="preserve"> D, Makris L, </w:t>
      </w:r>
      <w:proofErr w:type="spellStart"/>
      <w:r w:rsidRPr="00655FC9">
        <w:rPr>
          <w:sz w:val="14"/>
        </w:rPr>
        <w:t>Schwamlein</w:t>
      </w:r>
      <w:proofErr w:type="spellEnd"/>
      <w:r w:rsidRPr="00655FC9">
        <w:rPr>
          <w:sz w:val="14"/>
        </w:rPr>
        <w:t xml:space="preserve"> C, </w:t>
      </w:r>
      <w:proofErr w:type="spellStart"/>
      <w:r w:rsidRPr="00655FC9">
        <w:rPr>
          <w:sz w:val="14"/>
        </w:rPr>
        <w:t>Bloeden</w:t>
      </w:r>
      <w:proofErr w:type="spellEnd"/>
      <w:r w:rsidRPr="00655FC9">
        <w:rPr>
          <w:sz w:val="14"/>
        </w:rPr>
        <w:t xml:space="preserve"> L, Underberg J (2016) LOWER, a registry of lomitapide-treated patients with homozygous familial hypercholesterolemia: Rationale and design. Journal of Clinical </w:t>
      </w:r>
      <w:proofErr w:type="spellStart"/>
      <w:r w:rsidRPr="00655FC9">
        <w:rPr>
          <w:sz w:val="14"/>
        </w:rPr>
        <w:t>Lipidology</w:t>
      </w:r>
      <w:proofErr w:type="spellEnd"/>
      <w:r w:rsidRPr="00655FC9">
        <w:rPr>
          <w:sz w:val="14"/>
        </w:rPr>
        <w:t xml:space="preserve"> 10:273-282.</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 xml:space="preserve">4. </w:t>
      </w:r>
      <w:proofErr w:type="spellStart"/>
      <w:r w:rsidRPr="00655FC9">
        <w:rPr>
          <w:sz w:val="14"/>
        </w:rPr>
        <w:t>Cuchel</w:t>
      </w:r>
      <w:proofErr w:type="spellEnd"/>
      <w:r w:rsidRPr="00655FC9">
        <w:rPr>
          <w:sz w:val="14"/>
        </w:rPr>
        <w:t xml:space="preserve"> M, Meagher EA, du </w:t>
      </w:r>
      <w:proofErr w:type="spellStart"/>
      <w:r w:rsidRPr="00655FC9">
        <w:rPr>
          <w:sz w:val="14"/>
        </w:rPr>
        <w:t>Toit</w:t>
      </w:r>
      <w:proofErr w:type="spellEnd"/>
      <w:r w:rsidRPr="00655FC9">
        <w:rPr>
          <w:sz w:val="14"/>
        </w:rPr>
        <w:t xml:space="preserve"> Theron H, </w:t>
      </w:r>
      <w:proofErr w:type="spellStart"/>
      <w:r w:rsidRPr="00655FC9">
        <w:rPr>
          <w:sz w:val="14"/>
        </w:rPr>
        <w:t>Blom</w:t>
      </w:r>
      <w:proofErr w:type="spellEnd"/>
      <w:r w:rsidRPr="00655FC9">
        <w:rPr>
          <w:sz w:val="14"/>
        </w:rPr>
        <w:t xml:space="preserve"> DJ, Marais AD, </w:t>
      </w:r>
      <w:proofErr w:type="spellStart"/>
      <w:r w:rsidRPr="00655FC9">
        <w:rPr>
          <w:sz w:val="14"/>
        </w:rPr>
        <w:t>Hegele</w:t>
      </w:r>
      <w:proofErr w:type="spellEnd"/>
      <w:r w:rsidRPr="00655FC9">
        <w:rPr>
          <w:sz w:val="14"/>
        </w:rPr>
        <w:t xml:space="preserve"> RA, </w:t>
      </w:r>
      <w:proofErr w:type="spellStart"/>
      <w:r w:rsidRPr="00655FC9">
        <w:rPr>
          <w:sz w:val="14"/>
        </w:rPr>
        <w:t>Averna</w:t>
      </w:r>
      <w:proofErr w:type="spellEnd"/>
      <w:r w:rsidRPr="00655FC9">
        <w:rPr>
          <w:sz w:val="14"/>
        </w:rPr>
        <w:t xml:space="preserve"> MR, </w:t>
      </w:r>
      <w:proofErr w:type="spellStart"/>
      <w:r w:rsidRPr="00655FC9">
        <w:rPr>
          <w:sz w:val="14"/>
        </w:rPr>
        <w:t>Sirtori</w:t>
      </w:r>
      <w:proofErr w:type="spellEnd"/>
      <w:r w:rsidRPr="00655FC9">
        <w:rPr>
          <w:sz w:val="14"/>
        </w:rPr>
        <w:t xml:space="preserve"> CR, Shah PK, </w:t>
      </w:r>
      <w:proofErr w:type="spellStart"/>
      <w:r w:rsidRPr="00655FC9">
        <w:rPr>
          <w:sz w:val="14"/>
        </w:rPr>
        <w:t>Gaudet</w:t>
      </w:r>
      <w:proofErr w:type="spellEnd"/>
      <w:r w:rsidRPr="00655FC9">
        <w:rPr>
          <w:sz w:val="14"/>
        </w:rPr>
        <w:t xml:space="preserve"> D, </w:t>
      </w:r>
      <w:proofErr w:type="spellStart"/>
      <w:r w:rsidRPr="00655FC9">
        <w:rPr>
          <w:sz w:val="14"/>
        </w:rPr>
        <w:t>Stefanutti</w:t>
      </w:r>
      <w:proofErr w:type="spellEnd"/>
      <w:r w:rsidRPr="00655FC9">
        <w:rPr>
          <w:sz w:val="14"/>
        </w:rPr>
        <w:t xml:space="preserve"> C, </w:t>
      </w:r>
      <w:proofErr w:type="spellStart"/>
      <w:r w:rsidRPr="00655FC9">
        <w:rPr>
          <w:sz w:val="14"/>
        </w:rPr>
        <w:t>Vigna</w:t>
      </w:r>
      <w:proofErr w:type="spellEnd"/>
      <w:r w:rsidRPr="00655FC9">
        <w:rPr>
          <w:sz w:val="14"/>
        </w:rPr>
        <w:t xml:space="preserve"> GB, Du Plessis AM, </w:t>
      </w:r>
      <w:proofErr w:type="spellStart"/>
      <w:r w:rsidRPr="00655FC9">
        <w:rPr>
          <w:sz w:val="14"/>
        </w:rPr>
        <w:t>Propert</w:t>
      </w:r>
      <w:proofErr w:type="spellEnd"/>
      <w:r w:rsidRPr="00655FC9">
        <w:rPr>
          <w:sz w:val="14"/>
        </w:rPr>
        <w:t xml:space="preserve"> KJ, </w:t>
      </w:r>
      <w:proofErr w:type="spellStart"/>
      <w:r w:rsidRPr="00655FC9">
        <w:rPr>
          <w:sz w:val="14"/>
        </w:rPr>
        <w:t>Sasiela</w:t>
      </w:r>
      <w:proofErr w:type="spellEnd"/>
      <w:r w:rsidRPr="00655FC9">
        <w:rPr>
          <w:sz w:val="14"/>
        </w:rPr>
        <w:t xml:space="preserve"> WJ, </w:t>
      </w:r>
      <w:proofErr w:type="spellStart"/>
      <w:r w:rsidRPr="00655FC9">
        <w:rPr>
          <w:sz w:val="14"/>
        </w:rPr>
        <w:t>Bloedon</w:t>
      </w:r>
      <w:proofErr w:type="spellEnd"/>
      <w:r w:rsidRPr="00655FC9">
        <w:rPr>
          <w:sz w:val="14"/>
        </w:rPr>
        <w:t xml:space="preserve"> LT, Rader DJ (2013) Efficacy and safety of a microsomal triglyceride transfer protein inhibitor in patients with homozygous familial </w:t>
      </w:r>
      <w:proofErr w:type="spellStart"/>
      <w:r w:rsidRPr="00655FC9">
        <w:rPr>
          <w:sz w:val="14"/>
        </w:rPr>
        <w:t>hypercholesterolaemia</w:t>
      </w:r>
      <w:proofErr w:type="spellEnd"/>
      <w:r w:rsidRPr="00655FC9">
        <w:rPr>
          <w:sz w:val="14"/>
        </w:rPr>
        <w:t>: a single-arm, open-label, phase 3 study. Lancet 381:40-46.</w:t>
      </w:r>
    </w:p>
    <w:p w:rsidR="00655FC9" w:rsidRPr="00655FC9" w:rsidRDefault="00655FC9" w:rsidP="00655FC9">
      <w:pPr>
        <w:pStyle w:val="ListParagraph"/>
        <w:tabs>
          <w:tab w:val="left" w:pos="384"/>
        </w:tabs>
        <w:spacing w:before="0" w:line="240" w:lineRule="auto"/>
        <w:ind w:left="389" w:right="144" w:hanging="288"/>
        <w:rPr>
          <w:sz w:val="14"/>
        </w:rPr>
      </w:pPr>
      <w:r w:rsidRPr="00655FC9">
        <w:rPr>
          <w:sz w:val="14"/>
        </w:rPr>
        <w:t xml:space="preserve">5. </w:t>
      </w:r>
      <w:proofErr w:type="spellStart"/>
      <w:r w:rsidRPr="00655FC9">
        <w:rPr>
          <w:sz w:val="14"/>
        </w:rPr>
        <w:t>Blom</w:t>
      </w:r>
      <w:proofErr w:type="spellEnd"/>
      <w:r w:rsidRPr="00655FC9">
        <w:rPr>
          <w:sz w:val="14"/>
        </w:rPr>
        <w:t xml:space="preserve"> DJ, </w:t>
      </w:r>
      <w:proofErr w:type="spellStart"/>
      <w:r w:rsidRPr="00655FC9">
        <w:rPr>
          <w:sz w:val="14"/>
        </w:rPr>
        <w:t>Averna</w:t>
      </w:r>
      <w:proofErr w:type="spellEnd"/>
      <w:r w:rsidRPr="00655FC9">
        <w:rPr>
          <w:sz w:val="14"/>
        </w:rPr>
        <w:t xml:space="preserve"> MR, Meagher EA, du </w:t>
      </w:r>
      <w:proofErr w:type="spellStart"/>
      <w:r w:rsidRPr="00655FC9">
        <w:rPr>
          <w:sz w:val="14"/>
        </w:rPr>
        <w:t>Toit</w:t>
      </w:r>
      <w:proofErr w:type="spellEnd"/>
      <w:r w:rsidRPr="00655FC9">
        <w:rPr>
          <w:sz w:val="14"/>
        </w:rPr>
        <w:t xml:space="preserve"> Theron H, </w:t>
      </w:r>
      <w:proofErr w:type="spellStart"/>
      <w:r w:rsidRPr="00655FC9">
        <w:rPr>
          <w:sz w:val="14"/>
        </w:rPr>
        <w:t>Sirtori</w:t>
      </w:r>
      <w:proofErr w:type="spellEnd"/>
      <w:r w:rsidRPr="00655FC9">
        <w:rPr>
          <w:sz w:val="14"/>
        </w:rPr>
        <w:t xml:space="preserve"> CR, </w:t>
      </w:r>
      <w:proofErr w:type="spellStart"/>
      <w:r w:rsidRPr="00655FC9">
        <w:rPr>
          <w:sz w:val="14"/>
        </w:rPr>
        <w:t>Hegele</w:t>
      </w:r>
      <w:proofErr w:type="spellEnd"/>
      <w:r w:rsidRPr="00655FC9">
        <w:rPr>
          <w:sz w:val="14"/>
        </w:rPr>
        <w:t xml:space="preserve"> RA, Shah PK, </w:t>
      </w:r>
      <w:proofErr w:type="spellStart"/>
      <w:r w:rsidRPr="00655FC9">
        <w:rPr>
          <w:sz w:val="14"/>
        </w:rPr>
        <w:t>Gaudet</w:t>
      </w:r>
      <w:proofErr w:type="spellEnd"/>
      <w:r w:rsidRPr="00655FC9">
        <w:rPr>
          <w:sz w:val="14"/>
        </w:rPr>
        <w:t xml:space="preserve"> D, </w:t>
      </w:r>
      <w:proofErr w:type="spellStart"/>
      <w:r w:rsidRPr="00655FC9">
        <w:rPr>
          <w:sz w:val="14"/>
        </w:rPr>
        <w:t>Stefanutti</w:t>
      </w:r>
      <w:proofErr w:type="spellEnd"/>
      <w:r w:rsidRPr="00655FC9">
        <w:rPr>
          <w:sz w:val="14"/>
        </w:rPr>
        <w:t xml:space="preserve"> C, </w:t>
      </w:r>
      <w:proofErr w:type="spellStart"/>
      <w:r w:rsidRPr="00655FC9">
        <w:rPr>
          <w:sz w:val="14"/>
        </w:rPr>
        <w:t>Vigna</w:t>
      </w:r>
      <w:proofErr w:type="spellEnd"/>
      <w:r w:rsidRPr="00655FC9">
        <w:rPr>
          <w:sz w:val="14"/>
        </w:rPr>
        <w:t xml:space="preserve"> GB, </w:t>
      </w:r>
      <w:proofErr w:type="spellStart"/>
      <w:r w:rsidRPr="00655FC9">
        <w:rPr>
          <w:sz w:val="14"/>
        </w:rPr>
        <w:t>Larrey</w:t>
      </w:r>
      <w:proofErr w:type="spellEnd"/>
      <w:r w:rsidRPr="00655FC9">
        <w:rPr>
          <w:sz w:val="14"/>
        </w:rPr>
        <w:t xml:space="preserve"> D, </w:t>
      </w:r>
      <w:proofErr w:type="spellStart"/>
      <w:r w:rsidRPr="00655FC9">
        <w:rPr>
          <w:sz w:val="14"/>
        </w:rPr>
        <w:t>Bloedon</w:t>
      </w:r>
      <w:proofErr w:type="spellEnd"/>
      <w:r w:rsidRPr="00655FC9">
        <w:rPr>
          <w:sz w:val="14"/>
        </w:rPr>
        <w:t xml:space="preserve"> LT, </w:t>
      </w:r>
      <w:proofErr w:type="spellStart"/>
      <w:r w:rsidRPr="00655FC9">
        <w:rPr>
          <w:sz w:val="14"/>
        </w:rPr>
        <w:t>Foulds</w:t>
      </w:r>
      <w:proofErr w:type="spellEnd"/>
      <w:r w:rsidRPr="00655FC9">
        <w:rPr>
          <w:sz w:val="14"/>
        </w:rPr>
        <w:t xml:space="preserve"> P, Rader DJ, </w:t>
      </w:r>
      <w:proofErr w:type="spellStart"/>
      <w:r w:rsidRPr="00655FC9">
        <w:rPr>
          <w:sz w:val="14"/>
        </w:rPr>
        <w:t>Cuchel</w:t>
      </w:r>
      <w:proofErr w:type="spellEnd"/>
      <w:r w:rsidRPr="00655FC9">
        <w:rPr>
          <w:sz w:val="14"/>
        </w:rPr>
        <w:t xml:space="preserve"> M (2017). Long-Term Efficacy and Safety of the Microsomal Triglyceride Transfer Protein Inhibitor Lomitapide in Patients With Homozygous Familial Hypercholesterolemia. Circulation 126:332:335.</w:t>
      </w:r>
    </w:p>
    <w:p w:rsidR="00AE3E37" w:rsidRPr="00655FC9" w:rsidRDefault="00AE3E37" w:rsidP="00655FC9">
      <w:pPr>
        <w:pStyle w:val="ListParagraph"/>
        <w:tabs>
          <w:tab w:val="left" w:pos="384"/>
        </w:tabs>
        <w:spacing w:before="103" w:line="216" w:lineRule="exact"/>
        <w:ind w:right="138"/>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3059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A2805">
        <w:rPr>
          <w:noProof/>
          <w:lang w:eastAsia="zh-CN"/>
        </w:rPr>
        <w:t xml:space="preserve"> </w:t>
      </w:r>
      <w:r w:rsidR="003A2805">
        <w:rPr>
          <w:noProof/>
          <w:lang w:eastAsia="zh-CN"/>
        </w:rPr>
        <w:drawing>
          <wp:inline distT="0" distB="0" distL="0" distR="0" wp14:anchorId="17D9FEDB" wp14:editId="2112E137">
            <wp:extent cx="622509" cy="639436"/>
            <wp:effectExtent l="0" t="0" r="635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7228" cy="705915"/>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8667A6" w:rsidRPr="008667A6" w:rsidRDefault="008667A6" w:rsidP="008667A6">
      <w:pPr>
        <w:spacing w:before="41"/>
        <w:ind w:left="213" w:right="231"/>
        <w:jc w:val="both"/>
        <w:rPr>
          <w:rFonts w:ascii="Arial"/>
          <w:sz w:val="14"/>
        </w:rPr>
      </w:pPr>
      <w:r w:rsidRPr="008667A6">
        <w:rPr>
          <w:rFonts w:ascii="Arial"/>
          <w:sz w:val="14"/>
        </w:rPr>
        <w:t xml:space="preserve">Eliot A. Brinton, MD is President of the Utah Lipid Center in Salt Lake City. He is a founding board member of the National Lipid Association and of the American Board of Clinical </w:t>
      </w:r>
      <w:proofErr w:type="spellStart"/>
      <w:r w:rsidRPr="008667A6">
        <w:rPr>
          <w:rFonts w:ascii="Arial"/>
          <w:sz w:val="14"/>
        </w:rPr>
        <w:t>Lipidology</w:t>
      </w:r>
      <w:proofErr w:type="spellEnd"/>
      <w:r w:rsidRPr="008667A6">
        <w:rPr>
          <w:rFonts w:ascii="Arial"/>
          <w:sz w:val="14"/>
        </w:rPr>
        <w:t xml:space="preserve">, of which he is also Past-President. He is a fellow of the American Heart Association and of the National Lipid Association, and past chair of the Clinical </w:t>
      </w:r>
      <w:proofErr w:type="spellStart"/>
      <w:r w:rsidRPr="008667A6">
        <w:rPr>
          <w:rFonts w:ascii="Arial"/>
          <w:sz w:val="14"/>
        </w:rPr>
        <w:t>Lipidology</w:t>
      </w:r>
      <w:proofErr w:type="spellEnd"/>
      <w:r w:rsidRPr="008667A6">
        <w:rPr>
          <w:rFonts w:ascii="Arial"/>
          <w:sz w:val="14"/>
        </w:rPr>
        <w:t xml:space="preserve"> Committee of the AHA. Dr. Brinton is widely published in the field of lipoprotein metabolism, having published original research articles in the New England Journal of Medicine, JAMA, and Circulation. He is Associate Editor of the Journal of Clinical </w:t>
      </w:r>
      <w:proofErr w:type="spellStart"/>
      <w:r w:rsidRPr="008667A6">
        <w:rPr>
          <w:rFonts w:ascii="Arial"/>
          <w:sz w:val="14"/>
        </w:rPr>
        <w:t>Lipidology</w:t>
      </w:r>
      <w:proofErr w:type="spellEnd"/>
      <w:r w:rsidRPr="008667A6">
        <w:rPr>
          <w:rFonts w:ascii="Arial"/>
          <w:sz w:val="14"/>
        </w:rPr>
        <w:t xml:space="preserve"> and Assistant Editor of the Journal of Obesity, and has served on the editorial boards of the Journal of Clinical Endocrinology and Metabolism and the Journal of Managed Care Pharmacy. Dr. Brinton has served on the faculty of the Rockefeller University, Wake Forest University and the University of Utah. He has won several awards and has held numerous leadership and advisory positions in scientific and governmental organizations and in the pharmaceutical industry.</w:t>
      </w:r>
    </w:p>
    <w:p w:rsidR="00AE3E37" w:rsidRDefault="00A9710C" w:rsidP="00655FC9">
      <w:pPr>
        <w:spacing w:before="62"/>
        <w:ind w:left="4217" w:right="4235"/>
        <w:jc w:val="center"/>
        <w:rPr>
          <w:rStyle w:val="Hyperlink"/>
          <w:rFonts w:ascii="Arial"/>
          <w:sz w:val="14"/>
        </w:rPr>
      </w:pPr>
      <w:r>
        <w:rPr>
          <w:rFonts w:ascii="Arial"/>
          <w:sz w:val="14"/>
        </w:rPr>
        <w:t xml:space="preserve">Email: </w:t>
      </w:r>
      <w:hyperlink r:id="rId11" w:history="1">
        <w:r w:rsidR="00655FC9" w:rsidRPr="00655FC9">
          <w:rPr>
            <w:rStyle w:val="Hyperlink"/>
            <w:rFonts w:ascii="Arial"/>
            <w:sz w:val="14"/>
          </w:rPr>
          <w:t>eliot.brinton@utah.edu</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w:t>
      </w:r>
      <w:r w:rsidR="00655FC9" w:rsidRPr="00655FC9">
        <w:rPr>
          <w:rStyle w:val="Hyperlink"/>
          <w:rFonts w:ascii="Arial"/>
          <w:color w:val="auto"/>
          <w:sz w:val="14"/>
          <w:u w:val="none"/>
        </w:rPr>
        <w:t>801-403-7530</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0BE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8667A6" w:rsidRPr="008667A6" w:rsidRDefault="00A9710C" w:rsidP="008667A6">
      <w:pPr>
        <w:spacing w:before="39"/>
        <w:ind w:left="100"/>
        <w:rPr>
          <w:rFonts w:ascii="Minion Pro"/>
          <w:sz w:val="20"/>
        </w:rPr>
      </w:pPr>
      <w:r w:rsidRPr="00B21A57">
        <w:rPr>
          <w:rFonts w:ascii="Minion Pro"/>
          <w:b/>
          <w:sz w:val="20"/>
        </w:rPr>
        <w:t>Notes/Comments:</w:t>
      </w:r>
      <w:r w:rsidR="008667A6">
        <w:rPr>
          <w:rFonts w:ascii="Minion Pro"/>
          <w:b/>
          <w:sz w:val="20"/>
        </w:rPr>
        <w:t xml:space="preserve"> </w:t>
      </w:r>
      <w:r w:rsidR="008667A6" w:rsidRPr="008667A6">
        <w:rPr>
          <w:rFonts w:ascii="Minion Pro"/>
          <w:sz w:val="20"/>
        </w:rPr>
        <w:t xml:space="preserve">This study was supported by </w:t>
      </w:r>
      <w:proofErr w:type="spellStart"/>
      <w:r w:rsidR="008667A6" w:rsidRPr="008667A6">
        <w:rPr>
          <w:rFonts w:ascii="Minion Pro"/>
          <w:sz w:val="20"/>
        </w:rPr>
        <w:t>Aegerion</w:t>
      </w:r>
      <w:proofErr w:type="spellEnd"/>
      <w:r w:rsidR="008667A6" w:rsidRPr="008667A6">
        <w:rPr>
          <w:rFonts w:ascii="Minion Pro"/>
          <w:sz w:val="20"/>
        </w:rPr>
        <w:t xml:space="preserve"> Pharmaceuticals, Inc. </w:t>
      </w:r>
      <w:proofErr w:type="spellStart"/>
      <w:r w:rsidR="008667A6" w:rsidRPr="008667A6">
        <w:rPr>
          <w:rFonts w:ascii="Minion Pro"/>
          <w:sz w:val="20"/>
        </w:rPr>
        <w:t>Aegerion</w:t>
      </w:r>
      <w:proofErr w:type="spellEnd"/>
      <w:r w:rsidR="008667A6" w:rsidRPr="008667A6">
        <w:rPr>
          <w:rFonts w:ascii="Minion Pro"/>
          <w:sz w:val="20"/>
        </w:rPr>
        <w:t xml:space="preserve"> is manufacturer of lomitapide. </w:t>
      </w:r>
      <w:proofErr w:type="spellStart"/>
      <w:r w:rsidR="008667A6" w:rsidRPr="008667A6">
        <w:rPr>
          <w:rFonts w:ascii="Minion Pro"/>
          <w:sz w:val="20"/>
        </w:rPr>
        <w:t>Aegerion</w:t>
      </w:r>
      <w:proofErr w:type="spellEnd"/>
      <w:r w:rsidR="008667A6" w:rsidRPr="008667A6">
        <w:rPr>
          <w:rFonts w:ascii="Minion Pro"/>
          <w:sz w:val="20"/>
        </w:rPr>
        <w:t xml:space="preserve"> was given opportunity to review and provide feedback on the abstract; authors had full editorial control and provided their final approval of all content.</w:t>
      </w:r>
    </w:p>
    <w:p w:rsidR="00AE3E37" w:rsidRDefault="00AE3E37">
      <w:pPr>
        <w:rPr>
          <w:rFonts w:ascii="Minion Pro"/>
          <w:sz w:val="24"/>
        </w:rPr>
        <w:sectPr w:rsidR="00AE3E37" w:rsidSect="006C1470">
          <w:type w:val="continuous"/>
          <w:pgSz w:w="11910" w:h="16840"/>
          <w:pgMar w:top="1742" w:right="605" w:bottom="835" w:left="619"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470" w:rsidRDefault="006C1470">
      <w:r>
        <w:separator/>
      </w:r>
    </w:p>
  </w:endnote>
  <w:endnote w:type="continuationSeparator" w:id="0">
    <w:p w:rsidR="006C1470" w:rsidRDefault="006C1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70" w:rsidRDefault="006C1470">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C1470" w:rsidRPr="005B3A56" w:rsidRDefault="006C147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6C1470" w:rsidRPr="005B3A56" w:rsidRDefault="006C14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C1470" w:rsidRPr="005B3A56" w:rsidRDefault="006C147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1470" w:rsidRPr="005B3A56" w:rsidRDefault="006C14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6C1470" w:rsidRPr="005B3A56" w:rsidRDefault="006C14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1470" w:rsidRPr="005B3A56" w:rsidRDefault="006C14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C1470" w:rsidRPr="005B3A56" w:rsidRDefault="006C14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6C1470" w:rsidRPr="005B3A56" w:rsidRDefault="006C147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C1470" w:rsidRPr="005B3A56" w:rsidRDefault="006C14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470" w:rsidRDefault="006C1470">
      <w:r>
        <w:separator/>
      </w:r>
    </w:p>
  </w:footnote>
  <w:footnote w:type="continuationSeparator" w:id="0">
    <w:p w:rsidR="006C1470" w:rsidRDefault="006C1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70" w:rsidRDefault="006C1470">
    <w:pPr>
      <w:pStyle w:val="BodyText"/>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1470" w:rsidRPr="005B3A56" w:rsidRDefault="006C14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1470" w:rsidRPr="005B3A56" w:rsidRDefault="006C14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6C1470" w:rsidRPr="005B3A56" w:rsidRDefault="006C147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1470" w:rsidRPr="005B3A56" w:rsidRDefault="006C14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85723"/>
    <w:rsid w:val="000E2911"/>
    <w:rsid w:val="00123156"/>
    <w:rsid w:val="001263DF"/>
    <w:rsid w:val="00214098"/>
    <w:rsid w:val="002220FB"/>
    <w:rsid w:val="00292ED9"/>
    <w:rsid w:val="003A2805"/>
    <w:rsid w:val="00404E5B"/>
    <w:rsid w:val="00414F7B"/>
    <w:rsid w:val="004355DC"/>
    <w:rsid w:val="004749B4"/>
    <w:rsid w:val="00494130"/>
    <w:rsid w:val="004F3523"/>
    <w:rsid w:val="00544177"/>
    <w:rsid w:val="005973B9"/>
    <w:rsid w:val="005B3A56"/>
    <w:rsid w:val="006060CE"/>
    <w:rsid w:val="0063497F"/>
    <w:rsid w:val="00655FC9"/>
    <w:rsid w:val="006910C5"/>
    <w:rsid w:val="006C1470"/>
    <w:rsid w:val="00822382"/>
    <w:rsid w:val="00827B1F"/>
    <w:rsid w:val="008667A6"/>
    <w:rsid w:val="00873DF0"/>
    <w:rsid w:val="008756E6"/>
    <w:rsid w:val="008A07DB"/>
    <w:rsid w:val="009B2D44"/>
    <w:rsid w:val="00A07E82"/>
    <w:rsid w:val="00A9710C"/>
    <w:rsid w:val="00AE3E37"/>
    <w:rsid w:val="00B21A57"/>
    <w:rsid w:val="00BB0438"/>
    <w:rsid w:val="00C33602"/>
    <w:rsid w:val="00CC00DB"/>
    <w:rsid w:val="00CD6F55"/>
    <w:rsid w:val="00DA4FAA"/>
    <w:rsid w:val="00DE3104"/>
    <w:rsid w:val="00E029EB"/>
    <w:rsid w:val="00F15E94"/>
    <w:rsid w:val="00F72EEA"/>
    <w:rsid w:val="00F84CAE"/>
    <w:rsid w:val="00F976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D16AAC65-CE81-435D-BE00-97A0B239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8667A6"/>
    <w:rPr>
      <w:sz w:val="16"/>
      <w:szCs w:val="16"/>
    </w:rPr>
  </w:style>
  <w:style w:type="paragraph" w:styleId="CommentText">
    <w:name w:val="annotation text"/>
    <w:basedOn w:val="Normal"/>
    <w:link w:val="CommentTextChar"/>
    <w:uiPriority w:val="99"/>
    <w:semiHidden/>
    <w:unhideWhenUsed/>
    <w:rsid w:val="008667A6"/>
    <w:rPr>
      <w:sz w:val="20"/>
      <w:szCs w:val="20"/>
    </w:rPr>
  </w:style>
  <w:style w:type="character" w:customStyle="1" w:styleId="CommentTextChar">
    <w:name w:val="Comment Text Char"/>
    <w:basedOn w:val="DefaultParagraphFont"/>
    <w:link w:val="CommentText"/>
    <w:uiPriority w:val="99"/>
    <w:semiHidden/>
    <w:rsid w:val="008667A6"/>
    <w:rPr>
      <w:rFonts w:ascii="Tw Cen MT" w:eastAsia="Tw Cen MT" w:hAnsi="Tw Cen MT"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6962512">
      <w:bodyDiv w:val="1"/>
      <w:marLeft w:val="0"/>
      <w:marRight w:val="0"/>
      <w:marTop w:val="0"/>
      <w:marBottom w:val="0"/>
      <w:divBdr>
        <w:top w:val="none" w:sz="0" w:space="0" w:color="auto"/>
        <w:left w:val="none" w:sz="0" w:space="0" w:color="auto"/>
        <w:bottom w:val="none" w:sz="0" w:space="0" w:color="auto"/>
        <w:right w:val="none" w:sz="0" w:space="0" w:color="auto"/>
      </w:divBdr>
    </w:div>
    <w:div w:id="5775924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iot.brinton@utah.ed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Tan, Ruo-Ding</cp:lastModifiedBy>
  <cp:revision>2</cp:revision>
  <dcterms:created xsi:type="dcterms:W3CDTF">2017-11-15T06:36:00Z</dcterms:created>
  <dcterms:modified xsi:type="dcterms:W3CDTF">2017-11-15T06:36:00Z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