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C57" w:rsidRPr="00877C57" w:rsidRDefault="00877C57" w:rsidP="00877C57">
      <w:pPr>
        <w:pStyle w:val="Heading1"/>
        <w:spacing w:before="170"/>
        <w:ind w:left="0"/>
        <w:rPr>
          <w:color w:val="337AB7"/>
        </w:rPr>
      </w:pPr>
      <w:r w:rsidRPr="00877C57">
        <w:rPr>
          <w:color w:val="337AB7"/>
        </w:rPr>
        <w:t>Factors Associated with Carotid Intima Media Thickness and Carotid Plaque Score in Community-dwelling and Non-diabetic Individuals</w:t>
      </w:r>
    </w:p>
    <w:p w:rsidR="005973B9" w:rsidRDefault="00877C5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Javad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Alizargar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Chyi</w:t>
      </w:r>
      <w:proofErr w:type="spellEnd"/>
      <w:r>
        <w:rPr>
          <w:rFonts w:ascii="Arial"/>
        </w:rPr>
        <w:t>-Huey Bai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877C57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877C57" w:rsidRPr="00877C57" w:rsidRDefault="00877C57" w:rsidP="00877C57">
      <w:pPr>
        <w:pStyle w:val="BodyText"/>
        <w:spacing w:before="90" w:line="280" w:lineRule="auto"/>
        <w:ind w:left="100"/>
        <w:jc w:val="both"/>
      </w:pPr>
      <w:r w:rsidRPr="00877C57">
        <w:t>Background: The carotid intima media thickness (</w:t>
      </w:r>
      <w:proofErr w:type="spellStart"/>
      <w:r w:rsidRPr="00877C57">
        <w:t>cIMT</w:t>
      </w:r>
      <w:proofErr w:type="spellEnd"/>
      <w:r w:rsidRPr="00877C57">
        <w:t>) and carotid plaque score (</w:t>
      </w:r>
      <w:proofErr w:type="spellStart"/>
      <w:r w:rsidRPr="00877C57">
        <w:t>cPS</w:t>
      </w:r>
      <w:proofErr w:type="spellEnd"/>
      <w:r w:rsidRPr="00877C57">
        <w:t>) are respective markers of early- and late-stage subclinical atherosclerosis. Relationships between some laboratory parameters and subclinical atherosclerosis are not yet clear in community-dwelling individuals and non-diabetic (NDM) subjects.</w:t>
      </w:r>
    </w:p>
    <w:p w:rsidR="00877C57" w:rsidRPr="00877C57" w:rsidRDefault="00877C57" w:rsidP="00877C57">
      <w:pPr>
        <w:pStyle w:val="BodyText"/>
        <w:spacing w:before="90" w:line="280" w:lineRule="auto"/>
        <w:ind w:left="100"/>
        <w:jc w:val="both"/>
      </w:pPr>
      <w:r w:rsidRPr="00877C57">
        <w:t xml:space="preserve">Methods: We examined relationships of the </w:t>
      </w:r>
      <w:proofErr w:type="spellStart"/>
      <w:r w:rsidRPr="00877C57">
        <w:t>cIMT</w:t>
      </w:r>
      <w:proofErr w:type="spellEnd"/>
      <w:r w:rsidRPr="00877C57">
        <w:t xml:space="preserve"> and </w:t>
      </w:r>
      <w:proofErr w:type="spellStart"/>
      <w:r w:rsidRPr="00877C57">
        <w:t>cPS</w:t>
      </w:r>
      <w:proofErr w:type="spellEnd"/>
      <w:r w:rsidRPr="00877C57">
        <w:t xml:space="preserve"> with different laboratory and demographic data of 331 subjects from a community-based prospective cohort study, using </w:t>
      </w:r>
      <w:proofErr w:type="spellStart"/>
      <w:r w:rsidRPr="00877C57">
        <w:t>univariate</w:t>
      </w:r>
      <w:proofErr w:type="spellEnd"/>
      <w:r w:rsidRPr="00877C57">
        <w:t xml:space="preserve"> and multivariate analyses.</w:t>
      </w:r>
    </w:p>
    <w:p w:rsidR="00877C57" w:rsidRPr="00877C57" w:rsidRDefault="00877C57" w:rsidP="00877C57">
      <w:pPr>
        <w:pStyle w:val="BodyText"/>
        <w:spacing w:before="90" w:line="280" w:lineRule="auto"/>
        <w:ind w:left="100"/>
        <w:jc w:val="both"/>
      </w:pPr>
      <w:r w:rsidRPr="00877C57">
        <w:t xml:space="preserve">Results: Although more variables were significantly correlated with the </w:t>
      </w:r>
      <w:proofErr w:type="spellStart"/>
      <w:r w:rsidRPr="00877C57">
        <w:t>cIMT</w:t>
      </w:r>
      <w:proofErr w:type="spellEnd"/>
      <w:r w:rsidRPr="00877C57">
        <w:t xml:space="preserve"> and </w:t>
      </w:r>
      <w:proofErr w:type="spellStart"/>
      <w:r w:rsidRPr="00877C57">
        <w:t>cPS</w:t>
      </w:r>
      <w:proofErr w:type="spellEnd"/>
      <w:r w:rsidRPr="00877C57">
        <w:t xml:space="preserve">, after multiple adjustments, only systolic blood pressure (SBP), age, </w:t>
      </w:r>
      <w:proofErr w:type="spellStart"/>
      <w:r w:rsidRPr="00877C57">
        <w:t>glycated</w:t>
      </w:r>
      <w:proofErr w:type="spellEnd"/>
      <w:r w:rsidRPr="00877C57">
        <w:t xml:space="preserve"> hemoglobin (HBA1c), and waist circumference (WC) were determinants of the </w:t>
      </w:r>
      <w:proofErr w:type="spellStart"/>
      <w:r w:rsidRPr="00877C57">
        <w:t>cIMT</w:t>
      </w:r>
      <w:proofErr w:type="spellEnd"/>
      <w:r w:rsidRPr="00877C57">
        <w:t xml:space="preserve">, and only age, SBP, HBA1c, and blood urea nitrogen (BUN) were determinants of a </w:t>
      </w:r>
      <w:proofErr w:type="spellStart"/>
      <w:r w:rsidRPr="00877C57">
        <w:t>cPS</w:t>
      </w:r>
      <w:proofErr w:type="spellEnd"/>
      <w:r w:rsidRPr="00877C57">
        <w:t xml:space="preserve"> of &gt;2 in all individuals. Only HBA1c lost its association with regard to predicting the </w:t>
      </w:r>
      <w:proofErr w:type="spellStart"/>
      <w:r w:rsidRPr="00877C57">
        <w:t>cIMT</w:t>
      </w:r>
      <w:proofErr w:type="spellEnd"/>
      <w:r w:rsidRPr="00877C57">
        <w:t xml:space="preserve"> in NDM subjects.</w:t>
      </w:r>
    </w:p>
    <w:p w:rsidR="00877C57" w:rsidRPr="00877C57" w:rsidRDefault="00877C57" w:rsidP="00877C57">
      <w:pPr>
        <w:pStyle w:val="BodyText"/>
        <w:spacing w:before="90" w:line="280" w:lineRule="auto"/>
        <w:ind w:left="100"/>
        <w:jc w:val="both"/>
      </w:pPr>
      <w:r w:rsidRPr="00877C57">
        <w:t>Conclusions: HBA1c at &gt;5.9% can determine early- and late-stage subclinical atherosclerosis in community-dwelling individuals, but only late-stage subclinical atherosclerosis in NDM subjects.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877C57" w:rsidRPr="00182769" w:rsidRDefault="00877C57" w:rsidP="00877C57">
      <w:pPr>
        <w:spacing w:after="160" w:line="259" w:lineRule="auto"/>
        <w:rPr>
          <w:rFonts w:ascii="Times New Roman" w:eastAsia="PMingLiU" w:hAnsi="Times New Roman" w:cs="Times New Roman"/>
        </w:rPr>
      </w:pPr>
      <w:r w:rsidRPr="00182769">
        <w:rPr>
          <w:rFonts w:ascii="Times New Roman" w:eastAsia="PMingLiU" w:hAnsi="Times New Roman" w:cs="Times New Roman"/>
        </w:rPr>
        <w:t>ROC curve for the logistic model for predicting a thick i</w:t>
      </w:r>
      <w:r>
        <w:rPr>
          <w:rFonts w:ascii="Times New Roman" w:eastAsia="PMingLiU" w:hAnsi="Times New Roman" w:cs="Times New Roman"/>
        </w:rPr>
        <w:t>ntima</w:t>
      </w:r>
      <w:r w:rsidRPr="00182769">
        <w:rPr>
          <w:rFonts w:ascii="Times New Roman" w:eastAsia="PMingLiU" w:hAnsi="Times New Roman" w:cs="Times New Roman"/>
        </w:rPr>
        <w:t xml:space="preserve"> media thickness (IMT of &gt;0.75 cm) based on four independent variable of age, </w:t>
      </w:r>
      <w:proofErr w:type="spellStart"/>
      <w:r w:rsidRPr="00182769">
        <w:rPr>
          <w:rFonts w:ascii="Times New Roman" w:eastAsia="PMingLiU" w:hAnsi="Times New Roman" w:cs="Times New Roman"/>
        </w:rPr>
        <w:t>glycated</w:t>
      </w:r>
      <w:proofErr w:type="spellEnd"/>
      <w:r w:rsidRPr="00182769">
        <w:rPr>
          <w:rFonts w:ascii="Times New Roman" w:eastAsia="PMingLiU" w:hAnsi="Times New Roman" w:cs="Times New Roman"/>
        </w:rPr>
        <w:t xml:space="preserve"> hemoglobin (HBA1c), waist circumference, and systolic blood pressure (SBP).</w:t>
      </w:r>
    </w:p>
    <w:p w:rsidR="00877C57" w:rsidRDefault="00877C57">
      <w:pPr>
        <w:pStyle w:val="Heading3"/>
        <w:spacing w:before="74"/>
      </w:pPr>
    </w:p>
    <w:p w:rsidR="00AE3E37" w:rsidRDefault="00877C57">
      <w:pPr>
        <w:pStyle w:val="BodyText"/>
        <w:spacing w:before="2"/>
        <w:rPr>
          <w:rFonts w:ascii="Arial"/>
          <w:b/>
          <w:sz w:val="16"/>
        </w:rPr>
      </w:pPr>
      <w:r w:rsidRPr="00182769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4E10AB70" wp14:editId="708DD6F4">
            <wp:extent cx="3165475" cy="3165475"/>
            <wp:effectExtent l="0" t="0" r="0" b="0"/>
            <wp:docPr id="2" name="Picture 3" descr="ROC Curves for Comparis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OC Curves for Comparison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914224" w:rsidP="0091422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877C57" w:rsidP="00877C5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877C57">
        <w:rPr>
          <w:sz w:val="18"/>
        </w:rPr>
        <w:t>Eslami</w:t>
      </w:r>
      <w:proofErr w:type="spellEnd"/>
      <w:r w:rsidRPr="00877C57">
        <w:rPr>
          <w:sz w:val="18"/>
        </w:rPr>
        <w:t xml:space="preserve"> M, </w:t>
      </w:r>
      <w:proofErr w:type="spellStart"/>
      <w:r w:rsidRPr="00877C57">
        <w:rPr>
          <w:sz w:val="18"/>
        </w:rPr>
        <w:t>Khamechian</w:t>
      </w:r>
      <w:proofErr w:type="spellEnd"/>
      <w:r w:rsidRPr="00877C57">
        <w:rPr>
          <w:sz w:val="18"/>
        </w:rPr>
        <w:t xml:space="preserve"> T, </w:t>
      </w:r>
      <w:proofErr w:type="spellStart"/>
      <w:r w:rsidRPr="00877C57">
        <w:rPr>
          <w:sz w:val="18"/>
        </w:rPr>
        <w:t>Mazoochi</w:t>
      </w:r>
      <w:proofErr w:type="spellEnd"/>
      <w:r w:rsidRPr="00877C57">
        <w:rPr>
          <w:sz w:val="18"/>
        </w:rPr>
        <w:t xml:space="preserve"> T, </w:t>
      </w:r>
      <w:proofErr w:type="spellStart"/>
      <w:r w:rsidRPr="00877C57">
        <w:rPr>
          <w:sz w:val="18"/>
        </w:rPr>
        <w:t>Ehteram</w:t>
      </w:r>
      <w:proofErr w:type="spellEnd"/>
      <w:r w:rsidRPr="00877C57">
        <w:rPr>
          <w:sz w:val="18"/>
        </w:rPr>
        <w:t xml:space="preserve"> H, </w:t>
      </w:r>
      <w:proofErr w:type="spellStart"/>
      <w:r w:rsidRPr="00877C57">
        <w:rPr>
          <w:sz w:val="18"/>
        </w:rPr>
        <w:t>Sehat</w:t>
      </w:r>
      <w:proofErr w:type="spellEnd"/>
      <w:r w:rsidRPr="00877C57">
        <w:rPr>
          <w:sz w:val="18"/>
        </w:rPr>
        <w:t xml:space="preserve"> M, </w:t>
      </w:r>
      <w:proofErr w:type="spellStart"/>
      <w:r w:rsidRPr="00877C57">
        <w:rPr>
          <w:sz w:val="18"/>
        </w:rPr>
        <w:t>Alizargar</w:t>
      </w:r>
      <w:proofErr w:type="spellEnd"/>
      <w:r w:rsidRPr="00877C57">
        <w:rPr>
          <w:sz w:val="18"/>
        </w:rPr>
        <w:t xml:space="preserve"> J. Evaluation of </w:t>
      </w:r>
      <w:proofErr w:type="spellStart"/>
      <w:r w:rsidRPr="00877C57">
        <w:rPr>
          <w:sz w:val="18"/>
        </w:rPr>
        <w:t>survivin</w:t>
      </w:r>
      <w:proofErr w:type="spellEnd"/>
      <w:r w:rsidRPr="00877C57">
        <w:rPr>
          <w:sz w:val="18"/>
        </w:rPr>
        <w:t xml:space="preserve"> expression in prostate specimens of patients with prostate adenocarcinoma and benign prostate hyperplasia underwent transurethral resection of the prostate or prostatectomy. </w:t>
      </w:r>
      <w:r w:rsidRPr="00877C57">
        <w:rPr>
          <w:sz w:val="18"/>
        </w:rPr>
        <w:t>Spring. </w:t>
      </w:r>
      <w:r w:rsidRPr="00877C57">
        <w:rPr>
          <w:sz w:val="18"/>
        </w:rPr>
        <w:t>2016</w:t>
      </w:r>
      <w:proofErr w:type="gramStart"/>
      <w:r w:rsidRPr="00877C57">
        <w:rPr>
          <w:sz w:val="18"/>
        </w:rPr>
        <w:t>;</w:t>
      </w:r>
      <w:r w:rsidRPr="00877C57">
        <w:rPr>
          <w:sz w:val="18"/>
        </w:rPr>
        <w:t>5</w:t>
      </w:r>
      <w:r w:rsidRPr="00877C57">
        <w:rPr>
          <w:sz w:val="18"/>
        </w:rPr>
        <w:t>:621</w:t>
      </w:r>
      <w:proofErr w:type="gramEnd"/>
      <w:r w:rsidRPr="00877C57">
        <w:rPr>
          <w:sz w:val="18"/>
        </w:rPr>
        <w:t xml:space="preserve">. </w:t>
      </w:r>
    </w:p>
    <w:p w:rsidR="00877C57" w:rsidRDefault="00877C57" w:rsidP="00877C57">
      <w:pPr>
        <w:pStyle w:val="Default"/>
        <w:numPr>
          <w:ilvl w:val="0"/>
          <w:numId w:val="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Khamechian</w:t>
      </w:r>
      <w:proofErr w:type="spellEnd"/>
      <w:r>
        <w:rPr>
          <w:sz w:val="20"/>
          <w:szCs w:val="20"/>
        </w:rPr>
        <w:t xml:space="preserve">, T., J. </w:t>
      </w:r>
      <w:proofErr w:type="spellStart"/>
      <w:r>
        <w:rPr>
          <w:sz w:val="20"/>
          <w:szCs w:val="20"/>
        </w:rPr>
        <w:t>Alizargar</w:t>
      </w:r>
      <w:proofErr w:type="spellEnd"/>
      <w:r>
        <w:rPr>
          <w:sz w:val="20"/>
          <w:szCs w:val="20"/>
        </w:rPr>
        <w:t xml:space="preserve"> and T. </w:t>
      </w:r>
      <w:proofErr w:type="spellStart"/>
      <w:r>
        <w:rPr>
          <w:sz w:val="20"/>
          <w:szCs w:val="20"/>
        </w:rPr>
        <w:t>Mazoochi</w:t>
      </w:r>
      <w:proofErr w:type="spellEnd"/>
      <w:r>
        <w:rPr>
          <w:sz w:val="20"/>
          <w:szCs w:val="20"/>
        </w:rPr>
        <w:t xml:space="preserve">. 2014, 5-Year data analysis of patients following abdominal wall </w:t>
      </w:r>
      <w:proofErr w:type="spellStart"/>
      <w:r>
        <w:rPr>
          <w:sz w:val="20"/>
          <w:szCs w:val="20"/>
        </w:rPr>
        <w:t>endometrioma</w:t>
      </w:r>
      <w:proofErr w:type="spellEnd"/>
      <w:r>
        <w:rPr>
          <w:sz w:val="20"/>
          <w:szCs w:val="20"/>
        </w:rPr>
        <w:t xml:space="preserve"> surgery. BMC </w:t>
      </w:r>
      <w:proofErr w:type="spellStart"/>
      <w:r>
        <w:rPr>
          <w:sz w:val="20"/>
          <w:szCs w:val="20"/>
        </w:rPr>
        <w:t>Womens</w:t>
      </w:r>
      <w:proofErr w:type="spellEnd"/>
      <w:r>
        <w:rPr>
          <w:sz w:val="20"/>
          <w:szCs w:val="20"/>
        </w:rPr>
        <w:t xml:space="preserve"> Health. 2014 Dec 5; 14(1):151. </w:t>
      </w:r>
    </w:p>
    <w:p w:rsidR="00877C57" w:rsidRDefault="00877C57" w:rsidP="00877C57">
      <w:pPr>
        <w:pStyle w:val="Default"/>
        <w:numPr>
          <w:ilvl w:val="0"/>
          <w:numId w:val="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Khamechian</w:t>
      </w:r>
      <w:proofErr w:type="spellEnd"/>
      <w:r>
        <w:rPr>
          <w:sz w:val="20"/>
          <w:szCs w:val="20"/>
        </w:rPr>
        <w:t xml:space="preserve">, T., J. </w:t>
      </w:r>
      <w:proofErr w:type="spellStart"/>
      <w:r>
        <w:rPr>
          <w:sz w:val="20"/>
          <w:szCs w:val="20"/>
        </w:rPr>
        <w:t>Alizargar</w:t>
      </w:r>
      <w:proofErr w:type="spellEnd"/>
      <w:r>
        <w:rPr>
          <w:sz w:val="20"/>
          <w:szCs w:val="20"/>
        </w:rPr>
        <w:t xml:space="preserve"> and T. </w:t>
      </w:r>
      <w:proofErr w:type="spellStart"/>
      <w:r>
        <w:rPr>
          <w:sz w:val="20"/>
          <w:szCs w:val="20"/>
        </w:rPr>
        <w:t>Mazoochi</w:t>
      </w:r>
      <w:proofErr w:type="spellEnd"/>
      <w:r>
        <w:rPr>
          <w:sz w:val="20"/>
          <w:szCs w:val="20"/>
        </w:rPr>
        <w:t xml:space="preserve">. 2014, </w:t>
      </w:r>
      <w:proofErr w:type="gramStart"/>
      <w:r>
        <w:rPr>
          <w:sz w:val="20"/>
          <w:szCs w:val="20"/>
        </w:rPr>
        <w:t>Reporting</w:t>
      </w:r>
      <w:proofErr w:type="gramEnd"/>
      <w:r>
        <w:rPr>
          <w:sz w:val="20"/>
          <w:szCs w:val="20"/>
        </w:rPr>
        <w:t xml:space="preserve"> a rare case of pleomorphic adenoma of the breast, Case Reports in Medicine. vol. 2014, Article ID 387183, 4 pages, 2014. </w:t>
      </w:r>
    </w:p>
    <w:p w:rsidR="00914224" w:rsidRDefault="00914224" w:rsidP="00914224">
      <w:pPr>
        <w:pStyle w:val="Default"/>
        <w:numPr>
          <w:ilvl w:val="0"/>
          <w:numId w:val="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Khamechian</w:t>
      </w:r>
      <w:proofErr w:type="spellEnd"/>
      <w:r>
        <w:rPr>
          <w:sz w:val="20"/>
          <w:szCs w:val="20"/>
        </w:rPr>
        <w:t xml:space="preserve">, T., J. </w:t>
      </w:r>
      <w:proofErr w:type="spellStart"/>
      <w:r>
        <w:rPr>
          <w:sz w:val="20"/>
          <w:szCs w:val="20"/>
        </w:rPr>
        <w:t>Alizargar</w:t>
      </w:r>
      <w:proofErr w:type="spellEnd"/>
      <w:r>
        <w:rPr>
          <w:sz w:val="20"/>
          <w:szCs w:val="20"/>
        </w:rPr>
        <w:t xml:space="preserve"> and T. </w:t>
      </w:r>
      <w:proofErr w:type="spellStart"/>
      <w:r>
        <w:rPr>
          <w:sz w:val="20"/>
          <w:szCs w:val="20"/>
        </w:rPr>
        <w:t>Mazoochi</w:t>
      </w:r>
      <w:proofErr w:type="spellEnd"/>
      <w:r>
        <w:rPr>
          <w:sz w:val="20"/>
          <w:szCs w:val="20"/>
        </w:rPr>
        <w:t xml:space="preserve">. 2012, </w:t>
      </w:r>
      <w:proofErr w:type="gramStart"/>
      <w:r>
        <w:rPr>
          <w:sz w:val="20"/>
          <w:szCs w:val="20"/>
        </w:rPr>
        <w:t>The</w:t>
      </w:r>
      <w:proofErr w:type="gramEnd"/>
      <w:r>
        <w:rPr>
          <w:sz w:val="20"/>
          <w:szCs w:val="20"/>
        </w:rPr>
        <w:t xml:space="preserve"> Value of Touch Preparation for Rapid Diagnosis of Brain Tumors as an Intraoperative Consultation. IJMS, 37: 105-111. </w:t>
      </w:r>
    </w:p>
    <w:p w:rsidR="00914224" w:rsidRDefault="00914224" w:rsidP="00914224">
      <w:pPr>
        <w:pStyle w:val="Default"/>
        <w:numPr>
          <w:ilvl w:val="0"/>
          <w:numId w:val="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Khamechian</w:t>
      </w:r>
      <w:proofErr w:type="spellEnd"/>
      <w:r>
        <w:rPr>
          <w:sz w:val="20"/>
          <w:szCs w:val="20"/>
        </w:rPr>
        <w:t xml:space="preserve">, T., J. </w:t>
      </w:r>
      <w:proofErr w:type="spellStart"/>
      <w:r>
        <w:rPr>
          <w:sz w:val="20"/>
          <w:szCs w:val="20"/>
        </w:rPr>
        <w:t>Alizargar</w:t>
      </w:r>
      <w:proofErr w:type="spellEnd"/>
      <w:r>
        <w:rPr>
          <w:sz w:val="20"/>
          <w:szCs w:val="20"/>
        </w:rPr>
        <w:t xml:space="preserve"> and T. </w:t>
      </w:r>
      <w:proofErr w:type="spellStart"/>
      <w:r>
        <w:rPr>
          <w:sz w:val="20"/>
          <w:szCs w:val="20"/>
        </w:rPr>
        <w:t>Mazoochi</w:t>
      </w:r>
      <w:proofErr w:type="spellEnd"/>
      <w:r>
        <w:rPr>
          <w:sz w:val="20"/>
          <w:szCs w:val="20"/>
        </w:rPr>
        <w:t xml:space="preserve">. 2013, The Prevalence of Barrett’s Esophagus in Outpatients with Dyspepsia in Shaheed </w:t>
      </w:r>
      <w:proofErr w:type="spellStart"/>
      <w:r>
        <w:rPr>
          <w:sz w:val="20"/>
          <w:szCs w:val="20"/>
        </w:rPr>
        <w:t>Beheshti</w:t>
      </w:r>
      <w:proofErr w:type="spellEnd"/>
      <w:r>
        <w:rPr>
          <w:sz w:val="20"/>
          <w:szCs w:val="20"/>
        </w:rPr>
        <w:t xml:space="preserve"> Hospita</w:t>
      </w:r>
      <w:r>
        <w:rPr>
          <w:sz w:val="20"/>
          <w:szCs w:val="20"/>
        </w:rPr>
        <w:t xml:space="preserve">l of </w:t>
      </w:r>
      <w:proofErr w:type="spellStart"/>
      <w:r>
        <w:rPr>
          <w:sz w:val="20"/>
          <w:szCs w:val="20"/>
        </w:rPr>
        <w:t>Kashan</w:t>
      </w:r>
      <w:proofErr w:type="spellEnd"/>
      <w:r>
        <w:rPr>
          <w:sz w:val="20"/>
          <w:szCs w:val="20"/>
        </w:rPr>
        <w:t>. IJMS, 38: 263-266.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6364F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914224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914224">
        <w:rPr>
          <w:noProof/>
        </w:rPr>
        <w:drawing>
          <wp:inline distT="0" distB="0" distL="0" distR="0">
            <wp:extent cx="581025" cy="786580"/>
            <wp:effectExtent l="0" t="0" r="0" b="0"/>
            <wp:docPr id="3" name="Picture 3" descr="C:\Users\JAZ-32-TMU\Google Drive\pic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Z-32-TMU\Google Drive\pic\FullSizeRend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5" cy="79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</w:p>
    <w:p w:rsidR="00914224" w:rsidRPr="00914224" w:rsidRDefault="00914224" w:rsidP="00914224">
      <w:pPr>
        <w:spacing w:before="41" w:line="154" w:lineRule="exact"/>
        <w:ind w:left="213" w:right="231"/>
        <w:rPr>
          <w:rFonts w:ascii="Arial"/>
          <w:sz w:val="14"/>
        </w:rPr>
      </w:pPr>
      <w:proofErr w:type="spellStart"/>
      <w:r w:rsidRPr="00914224">
        <w:rPr>
          <w:rFonts w:ascii="Arial"/>
          <w:sz w:val="14"/>
        </w:rPr>
        <w:t>Javad</w:t>
      </w:r>
      <w:proofErr w:type="spellEnd"/>
      <w:r w:rsidRPr="00914224">
        <w:rPr>
          <w:rFonts w:ascii="Arial"/>
          <w:sz w:val="14"/>
        </w:rPr>
        <w:t xml:space="preserve"> </w:t>
      </w:r>
      <w:proofErr w:type="spellStart"/>
      <w:r w:rsidRPr="00914224">
        <w:rPr>
          <w:rFonts w:ascii="Arial"/>
          <w:sz w:val="14"/>
        </w:rPr>
        <w:t>Alizargar</w:t>
      </w:r>
      <w:proofErr w:type="spellEnd"/>
      <w:r w:rsidRPr="00914224">
        <w:rPr>
          <w:rFonts w:ascii="Arial"/>
          <w:sz w:val="14"/>
        </w:rPr>
        <w:t xml:space="preserve"> is a PhD student in Public Health. He got his Medical Doctor degree in 2012 and worked as a general physician and researcher for many years. He has published more than 30 articles in reputed international journals.</w:t>
      </w:r>
      <w:r w:rsidRPr="00914224">
        <w:rPr>
          <w:rFonts w:ascii="Arial"/>
          <w:sz w:val="14"/>
        </w:rPr>
        <w:br/>
      </w:r>
    </w:p>
    <w:p w:rsidR="00AE3E37" w:rsidRDefault="00A9710C" w:rsidP="00914224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14224">
        <w:rPr>
          <w:rFonts w:ascii="Arial"/>
          <w:sz w:val="14"/>
        </w:rPr>
        <w:t>jaz.tmu@gmail.com</w:t>
      </w:r>
      <w:hyperlink r:id="rId11" w:history="1"/>
    </w:p>
    <w:p w:rsidR="00827B1F" w:rsidRPr="00827B1F" w:rsidRDefault="00827B1F" w:rsidP="00914224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</w:t>
      </w:r>
      <w:r w:rsidR="00914224">
        <w:rPr>
          <w:rStyle w:val="Hyperlink"/>
          <w:rFonts w:ascii="Arial"/>
          <w:color w:val="auto"/>
          <w:sz w:val="14"/>
          <w:u w:val="none"/>
        </w:rPr>
        <w:t>886-966-545-123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4CB8A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6D7" w:rsidRDefault="001D16D7">
      <w:r>
        <w:separator/>
      </w:r>
    </w:p>
  </w:endnote>
  <w:endnote w:type="continuationSeparator" w:id="0">
    <w:p w:rsidR="001D16D7" w:rsidRDefault="001D1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6D7" w:rsidRDefault="001D16D7">
      <w:r>
        <w:separator/>
      </w:r>
    </w:p>
  </w:footnote>
  <w:footnote w:type="continuationSeparator" w:id="0">
    <w:p w:rsidR="001D16D7" w:rsidRDefault="001D1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42C6"/>
    <w:rsid w:val="00065718"/>
    <w:rsid w:val="000E2911"/>
    <w:rsid w:val="00123156"/>
    <w:rsid w:val="001263DF"/>
    <w:rsid w:val="001D16D7"/>
    <w:rsid w:val="002220FB"/>
    <w:rsid w:val="00292ED9"/>
    <w:rsid w:val="00404E5B"/>
    <w:rsid w:val="00414F7B"/>
    <w:rsid w:val="004355DC"/>
    <w:rsid w:val="004749B4"/>
    <w:rsid w:val="00494130"/>
    <w:rsid w:val="004F3523"/>
    <w:rsid w:val="00544177"/>
    <w:rsid w:val="005973B9"/>
    <w:rsid w:val="005B3A56"/>
    <w:rsid w:val="006060CE"/>
    <w:rsid w:val="0063497F"/>
    <w:rsid w:val="006910C5"/>
    <w:rsid w:val="00827B1F"/>
    <w:rsid w:val="00873DF0"/>
    <w:rsid w:val="008756E6"/>
    <w:rsid w:val="00877C57"/>
    <w:rsid w:val="00914224"/>
    <w:rsid w:val="009B2D44"/>
    <w:rsid w:val="00A07E82"/>
    <w:rsid w:val="00A9710C"/>
    <w:rsid w:val="00AE3E37"/>
    <w:rsid w:val="00B21A57"/>
    <w:rsid w:val="00C33602"/>
    <w:rsid w:val="00CC00DB"/>
    <w:rsid w:val="00CD6F55"/>
    <w:rsid w:val="00DE3104"/>
    <w:rsid w:val="00E029E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924A77-1FD2-4EE6-992A-C9C15FEA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ref-journal">
    <w:name w:val="ref-journal"/>
    <w:basedOn w:val="DefaultParagraphFont"/>
    <w:rsid w:val="00877C57"/>
  </w:style>
  <w:style w:type="character" w:customStyle="1" w:styleId="ref-vol">
    <w:name w:val="ref-vol"/>
    <w:basedOn w:val="DefaultParagraphFont"/>
    <w:rsid w:val="00877C57"/>
  </w:style>
  <w:style w:type="paragraph" w:customStyle="1" w:styleId="Default">
    <w:name w:val="Default"/>
    <w:rsid w:val="00877C57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JAZ-32-TMU</cp:lastModifiedBy>
  <cp:revision>2</cp:revision>
  <dcterms:created xsi:type="dcterms:W3CDTF">2017-09-11T03:07:00Z</dcterms:created>
  <dcterms:modified xsi:type="dcterms:W3CDTF">2017-09-11T03:07:00Z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