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A45" w:rsidRPr="00FC45D4" w:rsidRDefault="00866A45" w:rsidP="00866A45">
      <w:pPr>
        <w:autoSpaceDE w:val="0"/>
        <w:autoSpaceDN w:val="0"/>
        <w:adjustRightInd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Elevated Level of</w:t>
      </w:r>
      <w:r w:rsidR="00FB464A">
        <w:rPr>
          <w:rFonts w:ascii="Times New Roman" w:hAnsi="Times New Roman" w:cs="Times New Roman"/>
          <w:b/>
          <w:color w:val="000000" w:themeColor="text1"/>
          <w:sz w:val="24"/>
          <w:szCs w:val="24"/>
        </w:rPr>
        <w:t xml:space="preserve"> sTLT1 is A</w:t>
      </w:r>
      <w:r w:rsidRPr="00FC45D4">
        <w:rPr>
          <w:rFonts w:ascii="Times New Roman" w:hAnsi="Times New Roman" w:cs="Times New Roman"/>
          <w:b/>
          <w:color w:val="000000" w:themeColor="text1"/>
          <w:sz w:val="24"/>
          <w:szCs w:val="24"/>
        </w:rPr>
        <w:t>s</w:t>
      </w:r>
      <w:r w:rsidR="00DF636A">
        <w:rPr>
          <w:rFonts w:ascii="Times New Roman" w:hAnsi="Times New Roman" w:cs="Times New Roman"/>
          <w:b/>
          <w:color w:val="000000" w:themeColor="text1"/>
          <w:sz w:val="24"/>
          <w:szCs w:val="24"/>
        </w:rPr>
        <w:t xml:space="preserve">sociated with Risk Prediction in </w:t>
      </w:r>
      <w:r w:rsidRPr="00FC45D4">
        <w:rPr>
          <w:rFonts w:ascii="Times New Roman" w:hAnsi="Times New Roman" w:cs="Times New Roman"/>
          <w:b/>
          <w:color w:val="000000" w:themeColor="text1"/>
          <w:sz w:val="24"/>
          <w:szCs w:val="24"/>
        </w:rPr>
        <w:t xml:space="preserve">Acute </w:t>
      </w:r>
      <w:r w:rsidR="001A60D3">
        <w:rPr>
          <w:rFonts w:ascii="Times New Roman" w:hAnsi="Times New Roman" w:cs="Times New Roman"/>
          <w:b/>
          <w:color w:val="000000" w:themeColor="text1"/>
          <w:sz w:val="24"/>
          <w:szCs w:val="24"/>
        </w:rPr>
        <w:t>Coronary Syndrome</w:t>
      </w:r>
    </w:p>
    <w:p w:rsidR="00866A45" w:rsidRPr="00FC45D4" w:rsidRDefault="00866A45" w:rsidP="00866A45">
      <w:pPr>
        <w:spacing w:line="480" w:lineRule="auto"/>
        <w:rPr>
          <w:rFonts w:ascii="Times New Roman" w:hAnsi="Times New Roman" w:cs="Times New Roman"/>
          <w:b/>
          <w:color w:val="000000" w:themeColor="text1"/>
          <w:sz w:val="24"/>
          <w:szCs w:val="24"/>
        </w:rPr>
      </w:pPr>
    </w:p>
    <w:p w:rsidR="00866A45" w:rsidRPr="00A1710B" w:rsidRDefault="00866A45" w:rsidP="00866A45">
      <w:pPr>
        <w:spacing w:line="480" w:lineRule="auto"/>
        <w:rPr>
          <w:rFonts w:ascii="Times New Roman" w:hAnsi="Times New Roman"/>
          <w:sz w:val="20"/>
          <w:szCs w:val="20"/>
        </w:rPr>
      </w:pPr>
      <w:r w:rsidRPr="00DF636A">
        <w:rPr>
          <w:rFonts w:ascii="Times New Roman" w:hAnsi="Times New Roman"/>
          <w:sz w:val="20"/>
          <w:szCs w:val="20"/>
          <w:u w:val="single"/>
        </w:rPr>
        <w:t>Apabrita A</w:t>
      </w:r>
      <w:r w:rsidR="00CB54CA" w:rsidRPr="00DF636A">
        <w:rPr>
          <w:rFonts w:ascii="Times New Roman" w:hAnsi="Times New Roman"/>
          <w:sz w:val="20"/>
          <w:szCs w:val="20"/>
          <w:u w:val="single"/>
        </w:rPr>
        <w:t>yan</w:t>
      </w:r>
      <w:r w:rsidRPr="00DF636A">
        <w:rPr>
          <w:rFonts w:ascii="Times New Roman" w:hAnsi="Times New Roman"/>
          <w:sz w:val="20"/>
          <w:szCs w:val="20"/>
          <w:u w:val="single"/>
        </w:rPr>
        <w:t xml:space="preserve"> Das</w:t>
      </w:r>
      <w:r w:rsidRPr="00A1710B">
        <w:rPr>
          <w:rFonts w:ascii="Times New Roman" w:hAnsi="Times New Roman"/>
          <w:sz w:val="20"/>
          <w:szCs w:val="20"/>
          <w:vertAlign w:val="superscript"/>
        </w:rPr>
        <w:t xml:space="preserve"> </w:t>
      </w:r>
      <w:r>
        <w:rPr>
          <w:rFonts w:ascii="Times New Roman" w:hAnsi="Times New Roman"/>
          <w:sz w:val="20"/>
          <w:szCs w:val="20"/>
          <w:vertAlign w:val="superscript"/>
        </w:rPr>
        <w:t>a</w:t>
      </w:r>
      <w:r w:rsidRPr="00A1710B">
        <w:rPr>
          <w:rFonts w:ascii="Times New Roman" w:hAnsi="Times New Roman"/>
          <w:sz w:val="20"/>
          <w:szCs w:val="20"/>
        </w:rPr>
        <w:t>, Prakash C. Mandal, M.D</w:t>
      </w:r>
      <w:r w:rsidRPr="00A1710B">
        <w:rPr>
          <w:rFonts w:ascii="Times New Roman" w:hAnsi="Times New Roman"/>
          <w:sz w:val="20"/>
          <w:szCs w:val="20"/>
          <w:vertAlign w:val="superscript"/>
        </w:rPr>
        <w:t xml:space="preserve"> </w:t>
      </w:r>
      <w:r>
        <w:rPr>
          <w:rFonts w:ascii="Times New Roman" w:hAnsi="Times New Roman"/>
          <w:sz w:val="20"/>
          <w:szCs w:val="20"/>
          <w:vertAlign w:val="superscript"/>
        </w:rPr>
        <w:t>b</w:t>
      </w:r>
      <w:r w:rsidRPr="00A1710B">
        <w:rPr>
          <w:rFonts w:ascii="Times New Roman" w:hAnsi="Times New Roman"/>
          <w:sz w:val="20"/>
          <w:szCs w:val="20"/>
        </w:rPr>
        <w:t>, Khawer N. Siddiqui, M.D</w:t>
      </w:r>
      <w:r w:rsidRPr="00A1710B">
        <w:rPr>
          <w:rFonts w:ascii="Times New Roman" w:hAnsi="Times New Roman"/>
          <w:sz w:val="20"/>
          <w:szCs w:val="20"/>
          <w:vertAlign w:val="superscript"/>
        </w:rPr>
        <w:t xml:space="preserve"> </w:t>
      </w:r>
      <w:r>
        <w:rPr>
          <w:rFonts w:ascii="Times New Roman" w:hAnsi="Times New Roman"/>
          <w:sz w:val="20"/>
          <w:szCs w:val="20"/>
          <w:vertAlign w:val="superscript"/>
        </w:rPr>
        <w:t>c</w:t>
      </w:r>
      <w:r w:rsidRPr="00A1710B">
        <w:rPr>
          <w:rFonts w:ascii="Times New Roman" w:hAnsi="Times New Roman"/>
          <w:sz w:val="20"/>
          <w:szCs w:val="20"/>
        </w:rPr>
        <w:t>, Arun Bandyopadhyay, Ph.D</w:t>
      </w:r>
      <w:r>
        <w:rPr>
          <w:rFonts w:ascii="Times New Roman" w:hAnsi="Times New Roman"/>
          <w:sz w:val="20"/>
          <w:szCs w:val="20"/>
          <w:vertAlign w:val="superscript"/>
        </w:rPr>
        <w:t>a</w:t>
      </w:r>
    </w:p>
    <w:p w:rsidR="00866A45" w:rsidRPr="00A1710B" w:rsidRDefault="00866A45" w:rsidP="00866A45">
      <w:pPr>
        <w:spacing w:line="480" w:lineRule="auto"/>
        <w:rPr>
          <w:rFonts w:ascii="Times New Roman" w:hAnsi="Times New Roman"/>
          <w:sz w:val="20"/>
          <w:szCs w:val="20"/>
        </w:rPr>
      </w:pPr>
      <w:r>
        <w:rPr>
          <w:rFonts w:ascii="Times New Roman" w:hAnsi="Times New Roman"/>
          <w:sz w:val="20"/>
          <w:szCs w:val="20"/>
        </w:rPr>
        <w:t>a</w:t>
      </w:r>
      <w:r w:rsidRPr="00A1710B">
        <w:rPr>
          <w:rFonts w:ascii="Times New Roman" w:hAnsi="Times New Roman"/>
          <w:sz w:val="20"/>
          <w:szCs w:val="20"/>
        </w:rPr>
        <w:t xml:space="preserve">.Cell Biology and Physiology Division, CSIR-Indian Institute of Chemical Biology, CN-6, Sector 5, Salt Lake, Kolkata 700091, India. </w:t>
      </w:r>
    </w:p>
    <w:p w:rsidR="00866A45" w:rsidRPr="00A1710B" w:rsidRDefault="00866A45" w:rsidP="00866A45">
      <w:pPr>
        <w:spacing w:line="480" w:lineRule="auto"/>
        <w:rPr>
          <w:rFonts w:ascii="Times New Roman" w:hAnsi="Times New Roman"/>
          <w:sz w:val="20"/>
          <w:szCs w:val="20"/>
        </w:rPr>
      </w:pPr>
      <w:r>
        <w:rPr>
          <w:rFonts w:ascii="Times New Roman" w:hAnsi="Times New Roman"/>
          <w:sz w:val="20"/>
          <w:szCs w:val="20"/>
        </w:rPr>
        <w:t>b</w:t>
      </w:r>
      <w:r w:rsidRPr="00A1710B">
        <w:rPr>
          <w:rFonts w:ascii="Times New Roman" w:hAnsi="Times New Roman"/>
          <w:sz w:val="20"/>
          <w:szCs w:val="20"/>
        </w:rPr>
        <w:t>. Apollo Gleneagles Hospital, Kolkata.</w:t>
      </w:r>
    </w:p>
    <w:p w:rsidR="005973B9" w:rsidRPr="00866A45" w:rsidRDefault="00866A45" w:rsidP="00866A45">
      <w:pPr>
        <w:spacing w:line="480" w:lineRule="auto"/>
        <w:rPr>
          <w:rFonts w:ascii="Times New Roman" w:hAnsi="Times New Roman"/>
          <w:sz w:val="20"/>
          <w:szCs w:val="20"/>
        </w:rPr>
      </w:pPr>
      <w:r>
        <w:rPr>
          <w:rFonts w:ascii="Times New Roman" w:hAnsi="Times New Roman"/>
          <w:sz w:val="20"/>
          <w:szCs w:val="20"/>
        </w:rPr>
        <w:t>c</w:t>
      </w:r>
      <w:r w:rsidRPr="00A1710B">
        <w:rPr>
          <w:rFonts w:ascii="Times New Roman" w:hAnsi="Times New Roman"/>
          <w:sz w:val="20"/>
          <w:szCs w:val="20"/>
        </w:rPr>
        <w:t>. Ruby General Hospital, Kolkata.</w:t>
      </w:r>
      <w:r w:rsidR="005973B9">
        <w:rPr>
          <w:rFonts w:ascii="Arial"/>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2B48E8" w:rsidRDefault="00A9710C" w:rsidP="00484955">
      <w:pPr>
        <w:pStyle w:val="Heading3"/>
        <w:spacing w:before="147"/>
        <w:ind w:left="0"/>
        <w:jc w:val="both"/>
        <w:rPr>
          <w:rFonts w:ascii="Times New Roman" w:hAnsi="Times New Roman" w:cs="Times New Roman"/>
          <w:color w:val="000000" w:themeColor="text1"/>
        </w:rPr>
      </w:pPr>
      <w:r w:rsidRPr="002B48E8">
        <w:rPr>
          <w:rFonts w:ascii="Times New Roman" w:hAnsi="Times New Roman" w:cs="Times New Roman"/>
          <w:color w:val="000000" w:themeColor="text1"/>
        </w:rPr>
        <w:lastRenderedPageBreak/>
        <w:t>Abstract</w:t>
      </w:r>
    </w:p>
    <w:p w:rsidR="00CB54CA" w:rsidRPr="00E62D48" w:rsidRDefault="00A9710C" w:rsidP="00F469B3">
      <w:pPr>
        <w:jc w:val="both"/>
        <w:rPr>
          <w:rFonts w:ascii="Times New Roman" w:hAnsi="Times New Roman" w:cs="Times New Roman"/>
          <w:sz w:val="20"/>
          <w:szCs w:val="20"/>
        </w:rPr>
      </w:pPr>
      <w:r w:rsidRPr="00E62D48">
        <w:rPr>
          <w:rFonts w:ascii="Times New Roman" w:hAnsi="Times New Roman" w:cs="Times New Roman"/>
          <w:b/>
          <w:color w:val="000000" w:themeColor="text1"/>
          <w:sz w:val="20"/>
          <w:szCs w:val="20"/>
        </w:rPr>
        <w:t>Statement of the Problem</w:t>
      </w:r>
      <w:r w:rsidRPr="00E62D48">
        <w:rPr>
          <w:rFonts w:ascii="Times New Roman" w:hAnsi="Times New Roman" w:cs="Times New Roman"/>
          <w:sz w:val="20"/>
          <w:szCs w:val="20"/>
        </w:rPr>
        <w:t xml:space="preserve">: </w:t>
      </w:r>
      <w:r w:rsidR="00CB54CA" w:rsidRPr="00E62D48">
        <w:rPr>
          <w:rFonts w:ascii="Times New Roman" w:hAnsi="Times New Roman" w:cs="Times New Roman"/>
          <w:sz w:val="20"/>
          <w:szCs w:val="20"/>
        </w:rPr>
        <w:t>Soluble TREM like transcript 1(sTLT1) is reported to be associated with major processes related to atherosclerosis and Acute Coronary Syndrome. Hence, our study aimed to determine the association of sTLT1 with Coronary Heart Disease and its ability to predict the risk in the aforementioned disease.</w:t>
      </w:r>
    </w:p>
    <w:p w:rsidR="00CB54CA" w:rsidRPr="00E62D48" w:rsidRDefault="00A9710C" w:rsidP="00F469B3">
      <w:pPr>
        <w:jc w:val="both"/>
        <w:rPr>
          <w:rFonts w:ascii="Times New Roman" w:hAnsi="Times New Roman" w:cs="Times New Roman"/>
          <w:b/>
          <w:sz w:val="20"/>
          <w:szCs w:val="20"/>
          <w:u w:val="single"/>
        </w:rPr>
      </w:pPr>
      <w:r w:rsidRPr="00E62D48">
        <w:rPr>
          <w:rFonts w:ascii="Times New Roman" w:hAnsi="Times New Roman" w:cs="Times New Roman"/>
          <w:b/>
          <w:sz w:val="20"/>
          <w:szCs w:val="20"/>
        </w:rPr>
        <w:t>Methodolog</w:t>
      </w:r>
      <w:r w:rsidR="00CB54CA" w:rsidRPr="00E62D48">
        <w:rPr>
          <w:rFonts w:ascii="Times New Roman" w:hAnsi="Times New Roman" w:cs="Times New Roman"/>
          <w:b/>
          <w:sz w:val="20"/>
          <w:szCs w:val="20"/>
        </w:rPr>
        <w:t>y</w:t>
      </w:r>
      <w:r w:rsidR="008756E6" w:rsidRPr="00E62D48">
        <w:rPr>
          <w:rFonts w:ascii="Times New Roman" w:hAnsi="Times New Roman" w:cs="Times New Roman"/>
          <w:sz w:val="20"/>
          <w:szCs w:val="20"/>
        </w:rPr>
        <w:t>:</w:t>
      </w:r>
      <w:r w:rsidR="00CB54CA" w:rsidRPr="00E62D48">
        <w:rPr>
          <w:rFonts w:ascii="Times New Roman" w:hAnsi="Times New Roman" w:cs="Times New Roman"/>
          <w:sz w:val="20"/>
          <w:szCs w:val="20"/>
        </w:rPr>
        <w:t xml:space="preserve"> 117 subjects with or without Acute Coronary Syndrome were enrolled and plasma levels of soluble TREM like Transcript 1, NT-proBNP, oxidized LDL and other cholesterols were estimated. Subclinical cases were identified by lipid profiling, electrocardiogram and echocardiography. Regression analysis and ROC analysis were performed to determine the predictive value of this protein.</w:t>
      </w:r>
    </w:p>
    <w:p w:rsidR="00517593" w:rsidRPr="00E62D48" w:rsidRDefault="00A9710C" w:rsidP="00F469B3">
      <w:pPr>
        <w:jc w:val="both"/>
        <w:rPr>
          <w:rFonts w:ascii="Times New Roman" w:hAnsi="Times New Roman" w:cs="Times New Roman"/>
          <w:sz w:val="20"/>
          <w:szCs w:val="20"/>
        </w:rPr>
      </w:pPr>
      <w:r w:rsidRPr="00E62D48">
        <w:rPr>
          <w:rFonts w:ascii="Times New Roman" w:hAnsi="Times New Roman" w:cs="Times New Roman"/>
          <w:b/>
          <w:sz w:val="20"/>
          <w:szCs w:val="20"/>
        </w:rPr>
        <w:t>Findings:</w:t>
      </w:r>
      <w:r w:rsidR="00517593" w:rsidRPr="00E62D48">
        <w:rPr>
          <w:rFonts w:ascii="Times New Roman" w:hAnsi="Times New Roman" w:cs="Times New Roman"/>
          <w:sz w:val="20"/>
          <w:szCs w:val="20"/>
        </w:rPr>
        <w:t xml:space="preserve"> sTLT1 level was significantly (p&lt;0.05) higher in ACS subjects and asymptomatic than that of control subjects. The level of sTLT1 was not only associated with common risk factors of ACS in both patient and asymptomatic groups but also correlated with disease severity and it was also significantly associated (1338 ± 375 pg/ml) with intima-media thickness in asymptomatic individuals (&gt;1mm). Cut-off values of sTLT1 were found to be 875 pg/ml and 2500 pg/ml in </w:t>
      </w:r>
      <w:r w:rsidR="00517593" w:rsidRPr="00E62D48">
        <w:rPr>
          <w:rFonts w:ascii="Times New Roman" w:hAnsi="Times New Roman" w:cs="Times New Roman"/>
          <w:color w:val="000000"/>
          <w:sz w:val="20"/>
          <w:szCs w:val="20"/>
        </w:rPr>
        <w:t xml:space="preserve">asymptomatic and ACS subjects </w:t>
      </w:r>
      <w:r w:rsidR="00517593" w:rsidRPr="00E62D48">
        <w:rPr>
          <w:rFonts w:ascii="Times New Roman" w:hAnsi="Times New Roman" w:cs="Times New Roman"/>
          <w:sz w:val="20"/>
          <w:szCs w:val="20"/>
        </w:rPr>
        <w:t xml:space="preserve">respectively, as revealed by </w:t>
      </w:r>
      <w:r w:rsidR="00517593" w:rsidRPr="00E62D48">
        <w:rPr>
          <w:rFonts w:ascii="Times New Roman" w:hAnsi="Times New Roman" w:cs="Times New Roman"/>
          <w:color w:val="000000"/>
          <w:sz w:val="20"/>
          <w:szCs w:val="20"/>
        </w:rPr>
        <w:t>Receiver operating characteristic (ROC) curve analysis.</w:t>
      </w:r>
      <w:r w:rsidR="00517593" w:rsidRPr="00E62D48">
        <w:rPr>
          <w:rFonts w:ascii="Times New Roman" w:hAnsi="Times New Roman" w:cs="Times New Roman"/>
          <w:color w:val="FF0000"/>
          <w:sz w:val="20"/>
          <w:szCs w:val="20"/>
        </w:rPr>
        <w:t xml:space="preserve"> </w:t>
      </w:r>
      <w:r w:rsidR="00517593" w:rsidRPr="00E62D48">
        <w:rPr>
          <w:rFonts w:ascii="Times New Roman" w:hAnsi="Times New Roman" w:cs="Times New Roman"/>
          <w:sz w:val="20"/>
          <w:szCs w:val="20"/>
        </w:rPr>
        <w:t xml:space="preserve">Multiple linear and logistic regression analysis revealed that sTLT1 level would independently predict ACS as it is significantly associated (Linear Regression: </w:t>
      </w:r>
      <w:r w:rsidR="00517593" w:rsidRPr="00E62D48">
        <w:rPr>
          <w:rFonts w:ascii="Times New Roman" w:hAnsi="Times New Roman" w:cs="Times New Roman"/>
          <w:i/>
          <w:sz w:val="20"/>
          <w:szCs w:val="20"/>
        </w:rPr>
        <w:t>P</w:t>
      </w:r>
      <w:r w:rsidR="00517593" w:rsidRPr="00E62D48">
        <w:rPr>
          <w:rFonts w:ascii="Times New Roman" w:hAnsi="Times New Roman" w:cs="Times New Roman"/>
          <w:sz w:val="20"/>
          <w:szCs w:val="20"/>
        </w:rPr>
        <w:t xml:space="preserve">&lt;0.0001, </w:t>
      </w:r>
      <w:r w:rsidR="00517593" w:rsidRPr="00E62D48">
        <w:rPr>
          <w:rFonts w:ascii="Times New Roman" w:hAnsi="Times New Roman" w:cs="Times New Roman"/>
          <w:i/>
          <w:sz w:val="20"/>
          <w:szCs w:val="20"/>
        </w:rPr>
        <w:t>r</w:t>
      </w:r>
      <w:r w:rsidR="00517593" w:rsidRPr="00E62D48">
        <w:rPr>
          <w:rFonts w:ascii="Times New Roman" w:hAnsi="Times New Roman" w:cs="Times New Roman"/>
          <w:sz w:val="20"/>
          <w:szCs w:val="20"/>
        </w:rPr>
        <w:t>=0.674) (Logistic Regression: P=0.045, OR=1.02, 95% CI=1 to 1.04) with disease risk.</w:t>
      </w:r>
    </w:p>
    <w:p w:rsidR="00AE3E37" w:rsidRPr="00E62D48" w:rsidRDefault="00A9710C" w:rsidP="00F469B3">
      <w:pPr>
        <w:pStyle w:val="BodyText"/>
        <w:spacing w:before="90"/>
        <w:jc w:val="both"/>
        <w:rPr>
          <w:rFonts w:ascii="Times New Roman" w:hAnsi="Times New Roman" w:cs="Times New Roman"/>
          <w:sz w:val="20"/>
          <w:szCs w:val="20"/>
        </w:rPr>
      </w:pPr>
      <w:r w:rsidRPr="00E62D48">
        <w:rPr>
          <w:rFonts w:ascii="Times New Roman" w:hAnsi="Times New Roman" w:cs="Times New Roman"/>
          <w:b/>
          <w:sz w:val="20"/>
          <w:szCs w:val="20"/>
        </w:rPr>
        <w:t>Conclusion &amp; Significance:</w:t>
      </w:r>
      <w:r w:rsidRPr="00E62D48">
        <w:rPr>
          <w:rFonts w:ascii="Times New Roman" w:hAnsi="Times New Roman" w:cs="Times New Roman"/>
          <w:sz w:val="20"/>
          <w:szCs w:val="20"/>
        </w:rPr>
        <w:t xml:space="preserve"> </w:t>
      </w:r>
      <w:r w:rsidR="00517593" w:rsidRPr="00E62D48">
        <w:rPr>
          <w:rFonts w:ascii="Times New Roman" w:hAnsi="Times New Roman" w:cs="Times New Roman"/>
          <w:sz w:val="20"/>
          <w:szCs w:val="20"/>
        </w:rPr>
        <w:t>Circulating sTL</w:t>
      </w:r>
      <w:r w:rsidR="00517593" w:rsidRPr="00E62D48">
        <w:rPr>
          <w:rFonts w:ascii="Times New Roman" w:hAnsi="Times New Roman" w:cs="Times New Roman"/>
          <w:sz w:val="20"/>
          <w:szCs w:val="20"/>
          <w:lang w:val="en-IN"/>
        </w:rPr>
        <w:t xml:space="preserve">T1 represents a promising candidate for risk prediction </w:t>
      </w:r>
      <w:r w:rsidR="00517593" w:rsidRPr="00E62D48">
        <w:rPr>
          <w:rFonts w:ascii="Times New Roman" w:hAnsi="Times New Roman" w:cs="Times New Roman"/>
          <w:sz w:val="20"/>
          <w:szCs w:val="20"/>
        </w:rPr>
        <w:t>in asymptomatic as well as ACS subjects which may reduce mortality rate by leading better prognosis</w:t>
      </w:r>
    </w:p>
    <w:p w:rsidR="00AE3E37" w:rsidRPr="001A60D3" w:rsidRDefault="00A9710C" w:rsidP="00F469B3">
      <w:pPr>
        <w:pStyle w:val="Heading3"/>
        <w:spacing w:before="74"/>
        <w:jc w:val="both"/>
        <w:rPr>
          <w:rFonts w:ascii="Times New Roman" w:hAnsi="Times New Roman" w:cs="Times New Roman"/>
        </w:rPr>
      </w:pPr>
      <w:r w:rsidRPr="00F469B3">
        <w:rPr>
          <w:rFonts w:ascii="Times New Roman" w:hAnsi="Times New Roman" w:cs="Times New Roman"/>
          <w:b w:val="0"/>
        </w:rPr>
        <w:br w:type="column"/>
      </w:r>
      <w:r w:rsidR="001A60D3">
        <w:rPr>
          <w:rFonts w:ascii="Times New Roman" w:hAnsi="Times New Roman" w:cs="Times New Roman"/>
        </w:rPr>
        <w:lastRenderedPageBreak/>
        <w:t>Image</w:t>
      </w:r>
    </w:p>
    <w:p w:rsidR="00AE3E37" w:rsidRPr="00F469B3" w:rsidRDefault="00AE3F90" w:rsidP="00F469B3">
      <w:pPr>
        <w:pStyle w:val="BodyText"/>
        <w:spacing w:before="2"/>
        <w:jc w:val="both"/>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2882189" cy="2963954"/>
            <wp:effectExtent l="19050" t="0" r="0" b="0"/>
            <wp:docPr id="4" name="Picture 4" descr="C:\Users\HP\Documents\graphical abstract rom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cuments\graphical abstract rome.tif"/>
                    <pic:cNvPicPr>
                      <a:picLocks noChangeAspect="1" noChangeArrowheads="1"/>
                    </pic:cNvPicPr>
                  </pic:nvPicPr>
                  <pic:blipFill>
                    <a:blip r:embed="rId9"/>
                    <a:srcRect/>
                    <a:stretch>
                      <a:fillRect/>
                    </a:stretch>
                  </pic:blipFill>
                  <pic:spPr bwMode="auto">
                    <a:xfrm>
                      <a:off x="0" y="0"/>
                      <a:ext cx="2884388" cy="2966215"/>
                    </a:xfrm>
                    <a:prstGeom prst="rect">
                      <a:avLst/>
                    </a:prstGeom>
                    <a:noFill/>
                    <a:ln w="9525">
                      <a:noFill/>
                      <a:miter lim="800000"/>
                      <a:headEnd/>
                      <a:tailEnd/>
                    </a:ln>
                  </pic:spPr>
                </pic:pic>
              </a:graphicData>
            </a:graphic>
          </wp:inline>
        </w:drawing>
      </w:r>
    </w:p>
    <w:p w:rsidR="005973B9" w:rsidRPr="00F469B3" w:rsidRDefault="005973B9" w:rsidP="00F469B3">
      <w:pPr>
        <w:spacing w:line="204" w:lineRule="exact"/>
        <w:jc w:val="both"/>
        <w:rPr>
          <w:rFonts w:ascii="Times New Roman" w:hAnsi="Times New Roman" w:cs="Times New Roman"/>
          <w:b/>
          <w:sz w:val="20"/>
          <w:szCs w:val="20"/>
        </w:rPr>
      </w:pPr>
      <w:r w:rsidRPr="00F469B3">
        <w:rPr>
          <w:rFonts w:ascii="Times New Roman" w:hAnsi="Times New Roman" w:cs="Times New Roman"/>
          <w:b/>
          <w:color w:val="BF5A14"/>
          <w:sz w:val="20"/>
          <w:szCs w:val="20"/>
        </w:rPr>
        <w:br/>
      </w:r>
      <w:r w:rsidRPr="00E62D48">
        <w:rPr>
          <w:rFonts w:ascii="Times New Roman" w:hAnsi="Times New Roman" w:cs="Times New Roman"/>
          <w:b/>
          <w:color w:val="000000" w:themeColor="text1"/>
          <w:sz w:val="20"/>
          <w:szCs w:val="20"/>
        </w:rPr>
        <w:t>Recent Publications</w:t>
      </w:r>
      <w:r w:rsidRPr="00F469B3">
        <w:rPr>
          <w:rFonts w:ascii="Times New Roman" w:hAnsi="Times New Roman" w:cs="Times New Roman"/>
          <w:b/>
          <w:color w:val="BF5A14"/>
          <w:sz w:val="20"/>
          <w:szCs w:val="20"/>
        </w:rPr>
        <w:t xml:space="preserve"> </w:t>
      </w:r>
    </w:p>
    <w:p w:rsidR="006E07AE" w:rsidRPr="00914F3B" w:rsidRDefault="006E07AE" w:rsidP="006E07AE">
      <w:pPr>
        <w:pStyle w:val="ListParagraph"/>
        <w:numPr>
          <w:ilvl w:val="0"/>
          <w:numId w:val="3"/>
        </w:numPr>
        <w:spacing w:line="240" w:lineRule="auto"/>
        <w:rPr>
          <w:rFonts w:ascii="Times New Roman" w:hAnsi="Times New Roman"/>
          <w:noProof/>
          <w:color w:val="000000"/>
          <w:sz w:val="20"/>
          <w:szCs w:val="20"/>
        </w:rPr>
      </w:pPr>
      <w:r w:rsidRPr="00914F3B">
        <w:rPr>
          <w:rFonts w:ascii="Times New Roman" w:hAnsi="Times New Roman"/>
          <w:noProof/>
          <w:color w:val="000000"/>
          <w:sz w:val="20"/>
          <w:szCs w:val="20"/>
        </w:rPr>
        <w:t>Derive M, Bouazza Y, Sennoun N, Marchionni S, Quigley L, Washington V, Massin F, Max JP, Ford J, Alauzet C et al: Soluble TREM-like transcript-1 regulates leukocyte activation and controls microbial sepsis. J Immunol, 2012,188(11):5585-5592.</w:t>
      </w:r>
    </w:p>
    <w:p w:rsidR="00F469B3" w:rsidRPr="00F469B3" w:rsidRDefault="00F469B3" w:rsidP="00F469B3">
      <w:pPr>
        <w:pStyle w:val="ListParagraph"/>
        <w:numPr>
          <w:ilvl w:val="0"/>
          <w:numId w:val="3"/>
        </w:numPr>
        <w:spacing w:line="240" w:lineRule="auto"/>
        <w:rPr>
          <w:rFonts w:ascii="Times New Roman" w:hAnsi="Times New Roman"/>
          <w:noProof/>
          <w:color w:val="000000"/>
          <w:sz w:val="20"/>
          <w:szCs w:val="20"/>
        </w:rPr>
      </w:pPr>
      <w:r w:rsidRPr="00F469B3">
        <w:rPr>
          <w:rFonts w:ascii="Times New Roman" w:hAnsi="Times New Roman"/>
          <w:noProof/>
          <w:color w:val="000000"/>
          <w:sz w:val="20"/>
          <w:szCs w:val="20"/>
        </w:rPr>
        <w:t>Gattis JL, Washington AV, Chisholm MM, Quigley L, Szyk A, McVicar DW, Lubkowski J: The structure of the extracellular domain of triggering receptor expressed on myeloid cells like transcript-1 and evidence for a naturally occurring soluble fragment. J Biol Chem, 2006,281(19):13396-13403.</w:t>
      </w:r>
    </w:p>
    <w:p w:rsidR="006E07AE" w:rsidRDefault="006E07AE" w:rsidP="00914F3B">
      <w:pPr>
        <w:pStyle w:val="ListParagraph"/>
        <w:numPr>
          <w:ilvl w:val="0"/>
          <w:numId w:val="3"/>
        </w:numPr>
        <w:spacing w:line="240" w:lineRule="auto"/>
        <w:rPr>
          <w:rFonts w:ascii="Times New Roman" w:hAnsi="Times New Roman"/>
          <w:noProof/>
          <w:color w:val="000000"/>
          <w:sz w:val="20"/>
          <w:szCs w:val="20"/>
        </w:rPr>
      </w:pPr>
      <w:r w:rsidRPr="00624D38">
        <w:rPr>
          <w:rFonts w:ascii="Times New Roman" w:hAnsi="Times New Roman"/>
          <w:noProof/>
          <w:color w:val="000000"/>
          <w:sz w:val="20"/>
          <w:szCs w:val="20"/>
        </w:rPr>
        <w:t>Morales J, Villa K, Gattis J, Castro W, Colon K, Lubkowski J, Sanabria P, Hunter R, Washington AV: Soluble TLT-1 modulates platelet-endothelial cell interactions and actin polymerization. Blood Coagul Fibrinolysis, 2010,21(3):229-236.</w:t>
      </w:r>
    </w:p>
    <w:p w:rsidR="00914F3B" w:rsidRPr="00914F3B" w:rsidRDefault="00914F3B" w:rsidP="00914F3B">
      <w:pPr>
        <w:pStyle w:val="ListParagraph"/>
        <w:numPr>
          <w:ilvl w:val="0"/>
          <w:numId w:val="3"/>
        </w:numPr>
        <w:spacing w:line="240" w:lineRule="auto"/>
        <w:rPr>
          <w:rFonts w:ascii="Times New Roman" w:hAnsi="Times New Roman"/>
          <w:noProof/>
          <w:color w:val="000000"/>
          <w:sz w:val="20"/>
          <w:szCs w:val="20"/>
        </w:rPr>
      </w:pPr>
      <w:r w:rsidRPr="00914F3B">
        <w:rPr>
          <w:rFonts w:ascii="Times New Roman" w:hAnsi="Times New Roman"/>
          <w:noProof/>
          <w:color w:val="000000"/>
          <w:sz w:val="20"/>
          <w:szCs w:val="20"/>
        </w:rPr>
        <w:t>Washington AV, Gibot S, Acevedo I, Gattis J, Quigley L, Feltz R, De La Mota A, Schubert RL, Gomez-Rodriguez J, Cheng J et al: TREM-like transcript-1 protects against inflammation-associated hemorrhage by facilitating platelet aggregation in mice and humans. J Clin Invest, 2009,119(6):1489-1501.</w:t>
      </w:r>
    </w:p>
    <w:p w:rsidR="006E07AE" w:rsidRPr="006E07AE" w:rsidRDefault="006E07AE" w:rsidP="006E07AE">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Pr>
          <w:rFonts w:ascii="Times New Roman" w:hAnsi="Times New Roman"/>
          <w:noProof/>
          <w:color w:val="000000"/>
          <w:sz w:val="20"/>
          <w:szCs w:val="20"/>
        </w:rPr>
        <w:t xml:space="preserve">  </w:t>
      </w:r>
      <w:r w:rsidR="00914F3B" w:rsidRPr="00624D38">
        <w:rPr>
          <w:rFonts w:ascii="Times New Roman" w:hAnsi="Times New Roman"/>
          <w:noProof/>
          <w:color w:val="000000"/>
          <w:sz w:val="20"/>
          <w:szCs w:val="20"/>
        </w:rPr>
        <w:t xml:space="preserve">Washington AV, Schubert RL, Quigley L, Disipio T, Feltz </w:t>
      </w:r>
      <w:r w:rsidR="00914F3B" w:rsidRPr="00624D38">
        <w:rPr>
          <w:rFonts w:ascii="Times New Roman" w:hAnsi="Times New Roman"/>
          <w:noProof/>
          <w:color w:val="000000"/>
          <w:sz w:val="20"/>
          <w:szCs w:val="20"/>
        </w:rPr>
        <w:lastRenderedPageBreak/>
        <w:t xml:space="preserve">R, Cho EH, McVicar DW: A TREM family member, TLT-1, is found exclusively in the alpha-granules of </w:t>
      </w:r>
      <w:r w:rsidR="00914F3B" w:rsidRPr="00624D38">
        <w:rPr>
          <w:rFonts w:ascii="Times New Roman" w:hAnsi="Times New Roman"/>
          <w:noProof/>
          <w:color w:val="000000"/>
          <w:sz w:val="20"/>
          <w:szCs w:val="20"/>
        </w:rPr>
        <w:lastRenderedPageBreak/>
        <w:t>megakaryocytes and platelets. Blood, 2004,104(4):1042-1047.</w:t>
      </w:r>
      <w:r w:rsidR="00914F3B" w:rsidRPr="006E07AE">
        <w:rPr>
          <w:rFonts w:ascii="Times New Roman" w:hAnsi="Times New Roman"/>
          <w:noProof/>
          <w:color w:val="000000"/>
          <w:sz w:val="20"/>
          <w:szCs w:val="20"/>
        </w:rPr>
        <w:t xml:space="preserve"> </w:t>
      </w:r>
    </w:p>
    <w:p w:rsidR="00914F3B" w:rsidRPr="00F469B3" w:rsidRDefault="00914F3B" w:rsidP="00F469B3">
      <w:pPr>
        <w:spacing w:line="200" w:lineRule="exact"/>
        <w:jc w:val="both"/>
        <w:rPr>
          <w:rFonts w:ascii="Times New Roman" w:hAnsi="Times New Roman" w:cs="Times New Roman"/>
          <w:sz w:val="20"/>
          <w:szCs w:val="20"/>
        </w:rPr>
        <w:sectPr w:rsidR="00914F3B" w:rsidRPr="00F469B3">
          <w:type w:val="continuous"/>
          <w:pgSz w:w="11910" w:h="16840"/>
          <w:pgMar w:top="1740" w:right="600" w:bottom="840" w:left="620" w:header="720" w:footer="720" w:gutter="0"/>
          <w:cols w:num="2" w:space="720" w:equalWidth="0">
            <w:col w:w="5214" w:space="138"/>
            <w:col w:w="5338"/>
          </w:cols>
        </w:sectPr>
      </w:pPr>
    </w:p>
    <w:p w:rsidR="00AE3E37" w:rsidRPr="00F469B3" w:rsidRDefault="00AE3E37" w:rsidP="00F469B3">
      <w:pPr>
        <w:pStyle w:val="BodyText"/>
        <w:jc w:val="both"/>
        <w:rPr>
          <w:rFonts w:ascii="Times New Roman" w:hAnsi="Times New Roman" w:cs="Times New Roman"/>
          <w:sz w:val="20"/>
          <w:szCs w:val="20"/>
        </w:rPr>
      </w:pPr>
    </w:p>
    <w:p w:rsidR="00AE3E37" w:rsidRDefault="00AE3E37">
      <w:pPr>
        <w:pStyle w:val="BodyText"/>
        <w:spacing w:line="40" w:lineRule="exact"/>
        <w:ind w:left="2202"/>
        <w:rPr>
          <w:rFonts w:ascii="Calibri"/>
          <w:sz w:val="4"/>
        </w:rPr>
      </w:pPr>
    </w:p>
    <w:p w:rsidR="00AE3E37" w:rsidRPr="00DF636A" w:rsidRDefault="00DF636A" w:rsidP="00404E5B">
      <w:pPr>
        <w:spacing w:before="92"/>
        <w:ind w:right="4234"/>
        <w:rPr>
          <w:rFonts w:ascii="Times New Roman" w:hAnsi="Times New Roman" w:cs="Times New Roman"/>
          <w:b/>
        </w:rPr>
      </w:pPr>
      <w:r>
        <w:rPr>
          <w:noProof/>
        </w:rPr>
        <w:drawing>
          <wp:inline distT="0" distB="0" distL="0" distR="0">
            <wp:extent cx="787458" cy="782726"/>
            <wp:effectExtent l="19050" t="0" r="0" b="0"/>
            <wp:docPr id="2" name="Picture 5" descr="H:\rome ch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rome chbi.jpg"/>
                    <pic:cNvPicPr>
                      <a:picLocks noChangeAspect="1" noChangeArrowheads="1"/>
                    </pic:cNvPicPr>
                  </pic:nvPicPr>
                  <pic:blipFill>
                    <a:blip r:embed="rId10" cstate="print"/>
                    <a:srcRect/>
                    <a:stretch>
                      <a:fillRect/>
                    </a:stretch>
                  </pic:blipFill>
                  <pic:spPr bwMode="auto">
                    <a:xfrm>
                      <a:off x="0" y="0"/>
                      <a:ext cx="786635" cy="781908"/>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00A9710C" w:rsidRPr="00DF636A">
        <w:rPr>
          <w:rFonts w:ascii="Times New Roman" w:hAnsi="Times New Roman" w:cs="Times New Roman"/>
          <w:b/>
        </w:rPr>
        <w:t>Biography</w:t>
      </w:r>
    </w:p>
    <w:p w:rsidR="00DE435D" w:rsidRPr="0078676F" w:rsidRDefault="00DE435D" w:rsidP="00DE435D">
      <w:pPr>
        <w:spacing w:before="41" w:line="154" w:lineRule="exact"/>
        <w:ind w:left="213" w:right="231"/>
        <w:rPr>
          <w:rFonts w:ascii="Times New Roman" w:hAnsi="Times New Roman" w:cs="Times New Roman"/>
          <w:sz w:val="20"/>
          <w:szCs w:val="20"/>
        </w:rPr>
      </w:pPr>
    </w:p>
    <w:p w:rsidR="00DE435D" w:rsidRDefault="00A6073C" w:rsidP="00DF636A">
      <w:pPr>
        <w:spacing w:before="41"/>
        <w:ind w:left="213" w:right="231"/>
        <w:jc w:val="both"/>
        <w:rPr>
          <w:rFonts w:ascii="Times New Roman" w:hAnsi="Times New Roman" w:cs="Times New Roman"/>
          <w:sz w:val="20"/>
          <w:szCs w:val="20"/>
        </w:rPr>
      </w:pPr>
      <w:r>
        <w:rPr>
          <w:rFonts w:ascii="Times New Roman" w:hAnsi="Times New Roman" w:cs="Times New Roman"/>
          <w:sz w:val="20"/>
          <w:szCs w:val="20"/>
        </w:rPr>
        <w:t xml:space="preserve">Apabrita Ayan Das is working on </w:t>
      </w:r>
      <w:r w:rsidR="00DE435D">
        <w:rPr>
          <w:rFonts w:ascii="Times New Roman" w:hAnsi="Times New Roman" w:cs="Times New Roman"/>
          <w:sz w:val="20"/>
          <w:szCs w:val="20"/>
        </w:rPr>
        <w:t>cardiovascular</w:t>
      </w:r>
      <w:r>
        <w:rPr>
          <w:rFonts w:ascii="Times New Roman" w:hAnsi="Times New Roman" w:cs="Times New Roman"/>
          <w:sz w:val="20"/>
          <w:szCs w:val="20"/>
        </w:rPr>
        <w:t xml:space="preserve"> biology</w:t>
      </w:r>
      <w:r w:rsidR="00A9710C" w:rsidRPr="00A6073C">
        <w:rPr>
          <w:rFonts w:ascii="Times New Roman" w:hAnsi="Times New Roman" w:cs="Times New Roman"/>
          <w:sz w:val="20"/>
          <w:szCs w:val="20"/>
        </w:rPr>
        <w:t xml:space="preserve">. </w:t>
      </w:r>
      <w:r w:rsidR="00DE435D">
        <w:rPr>
          <w:rFonts w:ascii="Times New Roman" w:hAnsi="Times New Roman" w:cs="Times New Roman"/>
          <w:sz w:val="20"/>
          <w:szCs w:val="20"/>
        </w:rPr>
        <w:t>He had</w:t>
      </w:r>
      <w:r>
        <w:rPr>
          <w:rFonts w:ascii="Times New Roman" w:hAnsi="Times New Roman" w:cs="Times New Roman"/>
          <w:sz w:val="20"/>
          <w:szCs w:val="20"/>
        </w:rPr>
        <w:t xml:space="preserve"> pursued his M.Sc </w:t>
      </w:r>
      <w:r w:rsidR="00DE435D">
        <w:rPr>
          <w:rFonts w:ascii="Times New Roman" w:hAnsi="Times New Roman" w:cs="Times New Roman"/>
          <w:sz w:val="20"/>
          <w:szCs w:val="20"/>
        </w:rPr>
        <w:t>from Banaras Hindu University. Right now, he is pursuing his Ph.D under Dr. Arun Bandyopadhyay in CSIR-Indian Institute of Chemical Biology</w:t>
      </w:r>
      <w:r w:rsidR="0078676F">
        <w:rPr>
          <w:rFonts w:ascii="Times New Roman" w:hAnsi="Times New Roman" w:cs="Times New Roman"/>
          <w:sz w:val="20"/>
          <w:szCs w:val="20"/>
        </w:rPr>
        <w:t>, India</w:t>
      </w:r>
      <w:r w:rsidR="00DE435D">
        <w:rPr>
          <w:rFonts w:ascii="Times New Roman" w:hAnsi="Times New Roman" w:cs="Times New Roman"/>
          <w:sz w:val="20"/>
          <w:szCs w:val="20"/>
        </w:rPr>
        <w:t xml:space="preserve">. His </w:t>
      </w:r>
      <w:r w:rsidR="0078676F">
        <w:rPr>
          <w:rFonts w:ascii="Times New Roman" w:hAnsi="Times New Roman" w:cs="Times New Roman"/>
          <w:sz w:val="20"/>
          <w:szCs w:val="20"/>
        </w:rPr>
        <w:t>research is mainly focused on identifying novel prognostic and diagnostic marker for Acute Coronary Syndrome and elucidates their role in</w:t>
      </w:r>
      <w:r w:rsidR="00DE435D">
        <w:rPr>
          <w:rFonts w:ascii="Times New Roman" w:hAnsi="Times New Roman" w:cs="Times New Roman"/>
          <w:sz w:val="20"/>
          <w:szCs w:val="20"/>
        </w:rPr>
        <w:t xml:space="preserve"> Coronary Heart Disease</w:t>
      </w:r>
      <w:r w:rsidR="0078676F">
        <w:rPr>
          <w:rFonts w:ascii="Times New Roman" w:hAnsi="Times New Roman" w:cs="Times New Roman"/>
          <w:sz w:val="20"/>
          <w:szCs w:val="20"/>
        </w:rPr>
        <w:t>.</w:t>
      </w:r>
    </w:p>
    <w:p w:rsidR="00DE435D" w:rsidRDefault="00DE435D" w:rsidP="00DE435D">
      <w:pPr>
        <w:spacing w:before="41" w:line="154" w:lineRule="exact"/>
        <w:ind w:left="213" w:right="231"/>
        <w:rPr>
          <w:rFonts w:ascii="Times New Roman" w:hAnsi="Times New Roman" w:cs="Times New Roman"/>
          <w:sz w:val="20"/>
          <w:szCs w:val="20"/>
        </w:rPr>
      </w:pPr>
    </w:p>
    <w:p w:rsidR="00DE435D" w:rsidRDefault="00DE435D" w:rsidP="00DE435D">
      <w:pPr>
        <w:spacing w:before="41" w:line="154" w:lineRule="exact"/>
        <w:ind w:left="213" w:right="231"/>
        <w:rPr>
          <w:rFonts w:ascii="Arial"/>
          <w:sz w:val="14"/>
        </w:rPr>
      </w:pPr>
      <w:r>
        <w:rPr>
          <w:rFonts w:ascii="Arial"/>
          <w:sz w:val="14"/>
        </w:rPr>
        <w:t xml:space="preserve">                                                                                                          </w:t>
      </w:r>
    </w:p>
    <w:p w:rsidR="00DE435D" w:rsidRDefault="00DE435D" w:rsidP="00DE435D">
      <w:pPr>
        <w:spacing w:before="41" w:line="154" w:lineRule="exact"/>
        <w:ind w:left="213" w:right="231"/>
        <w:rPr>
          <w:rFonts w:ascii="Arial"/>
          <w:sz w:val="14"/>
        </w:rPr>
      </w:pPr>
    </w:p>
    <w:p w:rsidR="00DE435D" w:rsidRDefault="00DE435D" w:rsidP="00DE435D">
      <w:pPr>
        <w:spacing w:before="41" w:line="154" w:lineRule="exact"/>
        <w:ind w:left="213" w:right="231"/>
        <w:rPr>
          <w:rFonts w:ascii="Arial"/>
          <w:sz w:val="14"/>
        </w:rPr>
      </w:pPr>
    </w:p>
    <w:p w:rsidR="00AE3E37" w:rsidRPr="0078676F" w:rsidRDefault="0078676F" w:rsidP="00DE435D">
      <w:pPr>
        <w:spacing w:before="41" w:line="154" w:lineRule="exact"/>
        <w:ind w:left="213" w:right="231"/>
        <w:rPr>
          <w:rStyle w:val="Hyperlink"/>
          <w:rFonts w:ascii="Times New Roman" w:hAnsi="Times New Roman" w:cs="Times New Roman"/>
          <w:sz w:val="20"/>
          <w:szCs w:val="20"/>
        </w:rPr>
      </w:pPr>
      <w:r>
        <w:rPr>
          <w:rFonts w:ascii="Arial"/>
          <w:sz w:val="14"/>
        </w:rPr>
        <w:t xml:space="preserve">                                                                                                    </w:t>
      </w:r>
      <w:r w:rsidR="001A60D3">
        <w:rPr>
          <w:rFonts w:ascii="Arial"/>
          <w:sz w:val="14"/>
        </w:rPr>
        <w:t xml:space="preserve">  </w:t>
      </w:r>
      <w:r w:rsidR="00A9710C" w:rsidRPr="0078676F">
        <w:rPr>
          <w:rFonts w:ascii="Times New Roman" w:hAnsi="Times New Roman" w:cs="Times New Roman"/>
          <w:sz w:val="20"/>
          <w:szCs w:val="20"/>
        </w:rPr>
        <w:t xml:space="preserve">Email: </w:t>
      </w:r>
      <w:r w:rsidR="00866A45" w:rsidRPr="0078676F">
        <w:rPr>
          <w:rFonts w:ascii="Times New Roman" w:hAnsi="Times New Roman" w:cs="Times New Roman"/>
          <w:sz w:val="20"/>
          <w:szCs w:val="20"/>
        </w:rPr>
        <w:t>apabritaayan@gmail.com</w:t>
      </w:r>
    </w:p>
    <w:p w:rsidR="00827B1F" w:rsidRPr="0078676F" w:rsidRDefault="0078676F">
      <w:pPr>
        <w:spacing w:before="62"/>
        <w:ind w:left="4217" w:right="4235"/>
        <w:jc w:val="center"/>
        <w:rPr>
          <w:rFonts w:ascii="Times New Roman" w:hAnsi="Times New Roman" w:cs="Times New Roman"/>
          <w:sz w:val="20"/>
          <w:szCs w:val="20"/>
        </w:rPr>
      </w:pPr>
      <w:r>
        <w:rPr>
          <w:rStyle w:val="Hyperlink"/>
          <w:rFonts w:ascii="Times New Roman" w:hAnsi="Times New Roman" w:cs="Times New Roman"/>
          <w:color w:val="auto"/>
          <w:sz w:val="20"/>
          <w:szCs w:val="20"/>
          <w:u w:val="none"/>
        </w:rPr>
        <w:t xml:space="preserve">          </w:t>
      </w:r>
      <w:r w:rsidR="00827B1F" w:rsidRPr="0078676F">
        <w:rPr>
          <w:rStyle w:val="Hyperlink"/>
          <w:rFonts w:ascii="Times New Roman" w:hAnsi="Times New Roman" w:cs="Times New Roman"/>
          <w:color w:val="auto"/>
          <w:sz w:val="20"/>
          <w:szCs w:val="20"/>
          <w:u w:val="none"/>
        </w:rPr>
        <w:t xml:space="preserve">Phone: </w:t>
      </w:r>
      <w:r w:rsidR="00866A45" w:rsidRPr="0078676F">
        <w:rPr>
          <w:rStyle w:val="Hyperlink"/>
          <w:rFonts w:ascii="Times New Roman" w:hAnsi="Times New Roman" w:cs="Times New Roman"/>
          <w:color w:val="auto"/>
          <w:sz w:val="20"/>
          <w:szCs w:val="20"/>
          <w:u w:val="none"/>
        </w:rPr>
        <w:t>08444089419</w:t>
      </w:r>
    </w:p>
    <w:p w:rsidR="00AE3E37" w:rsidRPr="0078676F" w:rsidRDefault="00AE3E37">
      <w:pPr>
        <w:pStyle w:val="BodyText"/>
        <w:spacing w:before="2"/>
        <w:rPr>
          <w:rFonts w:ascii="Times New Roman" w:hAnsi="Times New Roman" w:cs="Times New Roman"/>
          <w:sz w:val="20"/>
          <w:szCs w:val="20"/>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214E" w:rsidRDefault="0047214E">
      <w:r>
        <w:separator/>
      </w:r>
    </w:p>
  </w:endnote>
  <w:endnote w:type="continuationSeparator" w:id="1">
    <w:p w:rsidR="0047214E" w:rsidRDefault="004721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308C9">
    <w:pPr>
      <w:pStyle w:val="BodyText"/>
      <w:spacing w:line="14" w:lineRule="auto"/>
      <w:rPr>
        <w:sz w:val="20"/>
      </w:rPr>
    </w:pPr>
    <w:r w:rsidRPr="00F308C9">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308C9">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308C9">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214E" w:rsidRDefault="0047214E">
      <w:r>
        <w:separator/>
      </w:r>
    </w:p>
  </w:footnote>
  <w:footnote w:type="continuationSeparator" w:id="1">
    <w:p w:rsidR="0047214E" w:rsidRDefault="004721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308C9">
    <w:pPr>
      <w:pStyle w:val="BodyText"/>
      <w:spacing w:line="14" w:lineRule="auto"/>
      <w:rPr>
        <w:sz w:val="20"/>
      </w:rPr>
    </w:pPr>
    <w:r w:rsidRPr="00F308C9">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E05CB70A"/>
    <w:lvl w:ilvl="0" w:tplc="8BAA9F7A">
      <w:start w:val="1"/>
      <w:numFmt w:val="decimal"/>
      <w:lvlText w:val="%1."/>
      <w:lvlJc w:val="left"/>
      <w:pPr>
        <w:ind w:left="464" w:hanging="284"/>
      </w:pPr>
      <w:rPr>
        <w:rFonts w:ascii="Times New Roman" w:eastAsia="Calibri" w:hAnsi="Times New Roman" w:cs="Times New Roman" w:hint="default"/>
        <w:spacing w:val="-16"/>
        <w:w w:val="100"/>
        <w:sz w:val="20"/>
        <w:szCs w:val="20"/>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642C6"/>
    <w:rsid w:val="00065718"/>
    <w:rsid w:val="000E2911"/>
    <w:rsid w:val="0010716D"/>
    <w:rsid w:val="00123156"/>
    <w:rsid w:val="001263DF"/>
    <w:rsid w:val="00171D64"/>
    <w:rsid w:val="001A60D3"/>
    <w:rsid w:val="002126E2"/>
    <w:rsid w:val="002220FB"/>
    <w:rsid w:val="00292ED9"/>
    <w:rsid w:val="002B48E8"/>
    <w:rsid w:val="00404E5B"/>
    <w:rsid w:val="00414F7B"/>
    <w:rsid w:val="004355DC"/>
    <w:rsid w:val="004679A8"/>
    <w:rsid w:val="0047214E"/>
    <w:rsid w:val="004749B4"/>
    <w:rsid w:val="00484955"/>
    <w:rsid w:val="00494130"/>
    <w:rsid w:val="004F3523"/>
    <w:rsid w:val="00517593"/>
    <w:rsid w:val="00544177"/>
    <w:rsid w:val="005973B9"/>
    <w:rsid w:val="005B3A56"/>
    <w:rsid w:val="006060CE"/>
    <w:rsid w:val="0063497F"/>
    <w:rsid w:val="006910C5"/>
    <w:rsid w:val="006E07AE"/>
    <w:rsid w:val="00726E4C"/>
    <w:rsid w:val="0078676F"/>
    <w:rsid w:val="00794440"/>
    <w:rsid w:val="008021B9"/>
    <w:rsid w:val="00827B1F"/>
    <w:rsid w:val="00866A45"/>
    <w:rsid w:val="00873DF0"/>
    <w:rsid w:val="008756E6"/>
    <w:rsid w:val="00914F3B"/>
    <w:rsid w:val="009B2D44"/>
    <w:rsid w:val="00A07E82"/>
    <w:rsid w:val="00A6073C"/>
    <w:rsid w:val="00A9710C"/>
    <w:rsid w:val="00AE3E37"/>
    <w:rsid w:val="00AE3F90"/>
    <w:rsid w:val="00B21A57"/>
    <w:rsid w:val="00C33602"/>
    <w:rsid w:val="00CB54CA"/>
    <w:rsid w:val="00CC00DB"/>
    <w:rsid w:val="00CD6F55"/>
    <w:rsid w:val="00DE3104"/>
    <w:rsid w:val="00DE435D"/>
    <w:rsid w:val="00DF636A"/>
    <w:rsid w:val="00E029EB"/>
    <w:rsid w:val="00E62D48"/>
    <w:rsid w:val="00F308C9"/>
    <w:rsid w:val="00F469B3"/>
    <w:rsid w:val="00F72EEA"/>
    <w:rsid w:val="00F84CAE"/>
    <w:rsid w:val="00FB464A"/>
    <w:rsid w:val="00FD68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15</cp:revision>
  <dcterms:created xsi:type="dcterms:W3CDTF">2016-09-03T07:53:00Z</dcterms:created>
  <dcterms:modified xsi:type="dcterms:W3CDTF">2017-08-17T11:36:00Z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