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20D" w:rsidRDefault="00AF220D" w:rsidP="00ED14FB">
      <w:pPr>
        <w:pStyle w:val="a3"/>
        <w:rPr>
          <w:rFonts w:ascii="Minion Pro" w:eastAsia="Minion Pro" w:hAnsi="Minion Pro" w:cs="Minion Pro"/>
          <w:b/>
          <w:bCs/>
          <w:color w:val="337AB7"/>
          <w:sz w:val="36"/>
          <w:szCs w:val="36"/>
        </w:rPr>
      </w:pPr>
      <w:r w:rsidRPr="00AF220D">
        <w:rPr>
          <w:rFonts w:ascii="Minion Pro" w:eastAsia="Minion Pro" w:hAnsi="Minion Pro" w:cs="Minion Pro"/>
          <w:b/>
          <w:bCs/>
          <w:color w:val="337AB7"/>
          <w:sz w:val="36"/>
          <w:szCs w:val="36"/>
        </w:rPr>
        <w:t>The genetics of familial hyperch</w:t>
      </w:r>
      <w:r>
        <w:rPr>
          <w:rFonts w:ascii="Minion Pro" w:eastAsia="Minion Pro" w:hAnsi="Minion Pro" w:cs="Minion Pro"/>
          <w:b/>
          <w:bCs/>
          <w:color w:val="337AB7"/>
          <w:sz w:val="36"/>
          <w:szCs w:val="36"/>
        </w:rPr>
        <w:t>olesterolemia and its detection</w:t>
      </w:r>
    </w:p>
    <w:p w:rsidR="00AF220D" w:rsidRDefault="00AF220D" w:rsidP="00ED14FB">
      <w:pPr>
        <w:pStyle w:val="a3"/>
        <w:rPr>
          <w:rFonts w:ascii="Minion Pro" w:eastAsia="Minion Pro" w:hAnsi="Minion Pro" w:cs="Minion Pro"/>
          <w:b/>
          <w:bCs/>
          <w:color w:val="337AB7"/>
          <w:sz w:val="36"/>
          <w:szCs w:val="36"/>
        </w:rPr>
      </w:pPr>
    </w:p>
    <w:p w:rsidR="005973B9" w:rsidRDefault="00ED14FB" w:rsidP="00ED14FB">
      <w:pPr>
        <w:pStyle w:val="a3"/>
        <w:rPr>
          <w:rFonts w:ascii="Arial"/>
        </w:rPr>
      </w:pPr>
      <w:bookmarkStart w:id="0" w:name="_GoBack"/>
      <w:bookmarkEnd w:id="0"/>
      <w:r>
        <w:rPr>
          <w:rFonts w:ascii="Arial"/>
        </w:rPr>
        <w:t xml:space="preserve">Kerchev Viktor, </w:t>
      </w:r>
      <w:r w:rsidRPr="00ED14FB">
        <w:rPr>
          <w:rFonts w:ascii="Arial"/>
        </w:rPr>
        <w:t xml:space="preserve">I.M. </w:t>
      </w:r>
      <w:proofErr w:type="spellStart"/>
      <w:r w:rsidRPr="00ED14FB">
        <w:rPr>
          <w:rFonts w:ascii="Arial"/>
        </w:rPr>
        <w:t>Sechenov</w:t>
      </w:r>
      <w:proofErr w:type="spellEnd"/>
      <w:r w:rsidRPr="00ED14FB">
        <w:rPr>
          <w:rFonts w:ascii="Arial"/>
        </w:rPr>
        <w:t xml:space="preserve"> First Moscow State Medical University</w:t>
      </w:r>
      <w:r>
        <w:rPr>
          <w:rFonts w:ascii="Arial"/>
        </w:rPr>
        <w:t xml:space="preserve">, </w:t>
      </w:r>
      <w:r w:rsidRPr="00ED14FB">
        <w:rPr>
          <w:rFonts w:ascii="Arial"/>
        </w:rPr>
        <w:t>Russian Federation</w:t>
      </w:r>
    </w:p>
    <w:p w:rsidR="00AE3E37" w:rsidRDefault="00ED14FB">
      <w:pPr>
        <w:pStyle w:val="a3"/>
        <w:rPr>
          <w:rFonts w:ascii="Arial"/>
        </w:rPr>
      </w:pPr>
      <w:proofErr w:type="spellStart"/>
      <w:r w:rsidRPr="00ED14FB">
        <w:rPr>
          <w:rFonts w:ascii="Arial"/>
        </w:rPr>
        <w:t>Larina</w:t>
      </w:r>
      <w:proofErr w:type="spellEnd"/>
      <w:r w:rsidRPr="00ED14FB">
        <w:rPr>
          <w:rFonts w:ascii="Arial"/>
        </w:rPr>
        <w:t xml:space="preserve"> Svetlana, I.M. </w:t>
      </w:r>
      <w:proofErr w:type="spellStart"/>
      <w:r w:rsidRPr="00ED14FB">
        <w:rPr>
          <w:rFonts w:ascii="Arial"/>
        </w:rPr>
        <w:t>Sechenov</w:t>
      </w:r>
      <w:proofErr w:type="spellEnd"/>
      <w:r w:rsidRPr="00ED14FB">
        <w:rPr>
          <w:rFonts w:ascii="Arial"/>
        </w:rPr>
        <w:t xml:space="preserve"> First Moscow State Medical University, Russian Federation</w:t>
      </w:r>
    </w:p>
    <w:p w:rsidR="00ED14FB" w:rsidRPr="000A6FA0" w:rsidRDefault="000A6FA0">
      <w:pPr>
        <w:pStyle w:val="a3"/>
        <w:rPr>
          <w:rFonts w:ascii="Arial"/>
        </w:rPr>
      </w:pPr>
      <w:proofErr w:type="spellStart"/>
      <w:r w:rsidRPr="000A6FA0">
        <w:rPr>
          <w:rFonts w:ascii="Arial"/>
        </w:rPr>
        <w:t>Shidlovskii</w:t>
      </w:r>
      <w:proofErr w:type="spellEnd"/>
      <w:r w:rsidRPr="000A6FA0">
        <w:rPr>
          <w:rFonts w:ascii="Arial"/>
        </w:rPr>
        <w:t xml:space="preserve"> </w:t>
      </w:r>
      <w:proofErr w:type="spellStart"/>
      <w:r w:rsidRPr="000A6FA0">
        <w:rPr>
          <w:rFonts w:ascii="Arial"/>
        </w:rPr>
        <w:t>Y</w:t>
      </w:r>
      <w:r>
        <w:rPr>
          <w:rFonts w:ascii="Arial"/>
        </w:rPr>
        <w:t>ulii</w:t>
      </w:r>
      <w:proofErr w:type="spellEnd"/>
      <w:r>
        <w:rPr>
          <w:rFonts w:ascii="Arial"/>
        </w:rPr>
        <w:t xml:space="preserve">, </w:t>
      </w:r>
      <w:r w:rsidRPr="000A6FA0">
        <w:rPr>
          <w:rFonts w:ascii="Arial"/>
        </w:rPr>
        <w:t>Institute of Gene Biology RAS</w:t>
      </w:r>
      <w:r>
        <w:rPr>
          <w:rStyle w:val="apple-converted-space"/>
          <w:rFonts w:ascii="Calibri" w:hAnsi="Calibri" w:cs="Calibri"/>
          <w:i/>
          <w:iCs/>
          <w:color w:val="1F4E79"/>
          <w:sz w:val="16"/>
          <w:szCs w:val="16"/>
          <w:shd w:val="clear" w:color="auto" w:fill="FFFFFF"/>
        </w:rPr>
        <w:t xml:space="preserve">, </w:t>
      </w:r>
      <w:r w:rsidRPr="00ED14FB">
        <w:rPr>
          <w:rFonts w:ascii="Arial"/>
        </w:rPr>
        <w:t>Russian Federation</w:t>
      </w:r>
    </w:p>
    <w:p w:rsidR="00AE3E37" w:rsidRDefault="00AE3E37">
      <w:pPr>
        <w:rPr>
          <w:rFonts w:ascii="Arial"/>
          <w:sz w:val="21"/>
        </w:rPr>
      </w:pPr>
    </w:p>
    <w:p w:rsidR="00F16B8A" w:rsidRDefault="00F16B8A">
      <w:pPr>
        <w:rPr>
          <w:rFonts w:ascii="Arial"/>
          <w:sz w:val="21"/>
        </w:rPr>
        <w:sectPr w:rsidR="00F16B8A" w:rsidSect="00F16B8A">
          <w:headerReference w:type="default" r:id="rId7"/>
          <w:footerReference w:type="default" r:id="rId8"/>
          <w:type w:val="continuous"/>
          <w:pgSz w:w="11910" w:h="16840"/>
          <w:pgMar w:top="568"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ED14FB" w:rsidRPr="00190238" w:rsidRDefault="000A6FA0" w:rsidP="00ED14FB">
      <w:pPr>
        <w:pStyle w:val="3"/>
        <w:spacing w:before="74"/>
        <w:rPr>
          <w:rFonts w:ascii="Tw Cen MT" w:eastAsia="Tw Cen MT" w:hAnsi="Tw Cen MT" w:cs="Tw Cen MT"/>
          <w:b w:val="0"/>
          <w:bCs w:val="0"/>
          <w:sz w:val="18"/>
          <w:szCs w:val="18"/>
        </w:rPr>
      </w:pPr>
      <w:r w:rsidRPr="00ED14FB">
        <w:rPr>
          <w:rFonts w:ascii="Calibri"/>
          <w:noProof/>
          <w:lang w:val="ru-RU" w:eastAsia="ru-RU"/>
        </w:rPr>
        <w:drawing>
          <wp:anchor distT="0" distB="0" distL="114300" distR="114300" simplePos="0" relativeHeight="251666944" behindDoc="1" locked="0" layoutInCell="1" allowOverlap="1">
            <wp:simplePos x="0" y="0"/>
            <wp:positionH relativeFrom="column">
              <wp:posOffset>111125</wp:posOffset>
            </wp:positionH>
            <wp:positionV relativeFrom="paragraph">
              <wp:posOffset>3015615</wp:posOffset>
            </wp:positionV>
            <wp:extent cx="2809875" cy="3447332"/>
            <wp:effectExtent l="0" t="0" r="0" b="1270"/>
            <wp:wrapTight wrapText="bothSides">
              <wp:wrapPolygon edited="0">
                <wp:start x="0" y="0"/>
                <wp:lineTo x="0" y="21489"/>
                <wp:lineTo x="21380" y="21489"/>
                <wp:lineTo x="21380" y="0"/>
                <wp:lineTo x="0" y="0"/>
              </wp:wrapPolygon>
            </wp:wrapTight>
            <wp:docPr id="3" name="Рисунок 3" descr="E:\PSCK9\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SCK9\Безымянный.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3660" b="15207"/>
                    <a:stretch/>
                  </pic:blipFill>
                  <pic:spPr bwMode="auto">
                    <a:xfrm>
                      <a:off x="0" y="0"/>
                      <a:ext cx="2809875" cy="344733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0238" w:rsidRPr="00190238">
        <w:rPr>
          <w:rFonts w:ascii="Tw Cen MT" w:eastAsia="Tw Cen MT" w:hAnsi="Tw Cen MT" w:cs="Tw Cen MT"/>
          <w:b w:val="0"/>
          <w:bCs w:val="0"/>
          <w:sz w:val="18"/>
          <w:szCs w:val="18"/>
        </w:rPr>
        <w:t xml:space="preserve">Familial </w:t>
      </w:r>
      <w:proofErr w:type="spellStart"/>
      <w:r w:rsidR="00190238" w:rsidRPr="00190238">
        <w:rPr>
          <w:rFonts w:ascii="Tw Cen MT" w:eastAsia="Tw Cen MT" w:hAnsi="Tw Cen MT" w:cs="Tw Cen MT"/>
          <w:b w:val="0"/>
          <w:bCs w:val="0"/>
          <w:sz w:val="18"/>
          <w:szCs w:val="18"/>
        </w:rPr>
        <w:t>Hypercholesterolaemia</w:t>
      </w:r>
      <w:proofErr w:type="spellEnd"/>
      <w:r w:rsidR="00190238" w:rsidRPr="00190238">
        <w:rPr>
          <w:rFonts w:ascii="Tw Cen MT" w:eastAsia="Tw Cen MT" w:hAnsi="Tw Cen MT" w:cs="Tw Cen MT"/>
          <w:b w:val="0"/>
          <w:bCs w:val="0"/>
          <w:sz w:val="18"/>
          <w:szCs w:val="18"/>
        </w:rPr>
        <w:t xml:space="preserve"> is an autosomal, dominant genetic disorder that leads to elevated blood cholesterol</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 xml:space="preserve">and a dramatically increased risk of atherosclerosis. It </w:t>
      </w:r>
      <w:proofErr w:type="gramStart"/>
      <w:r w:rsidR="00190238" w:rsidRPr="00190238">
        <w:rPr>
          <w:rFonts w:ascii="Tw Cen MT" w:eastAsia="Tw Cen MT" w:hAnsi="Tw Cen MT" w:cs="Tw Cen MT"/>
          <w:b w:val="0"/>
          <w:bCs w:val="0"/>
          <w:sz w:val="18"/>
          <w:szCs w:val="18"/>
        </w:rPr>
        <w:t>is perceived</w:t>
      </w:r>
      <w:proofErr w:type="gramEnd"/>
      <w:r w:rsidR="00190238" w:rsidRPr="00190238">
        <w:rPr>
          <w:rFonts w:ascii="Tw Cen MT" w:eastAsia="Tw Cen MT" w:hAnsi="Tw Cen MT" w:cs="Tw Cen MT"/>
          <w:b w:val="0"/>
          <w:bCs w:val="0"/>
          <w:sz w:val="18"/>
          <w:szCs w:val="18"/>
        </w:rPr>
        <w:t xml:space="preserve"> as a rare condition. </w:t>
      </w:r>
      <w:proofErr w:type="gramStart"/>
      <w:r w:rsidR="00190238" w:rsidRPr="00190238">
        <w:rPr>
          <w:rFonts w:ascii="Tw Cen MT" w:eastAsia="Tw Cen MT" w:hAnsi="Tw Cen MT" w:cs="Tw Cen MT"/>
          <w:b w:val="0"/>
          <w:bCs w:val="0"/>
          <w:sz w:val="18"/>
          <w:szCs w:val="18"/>
        </w:rPr>
        <w:t>However</w:t>
      </w:r>
      <w:proofErr w:type="gramEnd"/>
      <w:r w:rsidR="00190238" w:rsidRPr="00190238">
        <w:rPr>
          <w:rFonts w:ascii="Tw Cen MT" w:eastAsia="Tw Cen MT" w:hAnsi="Tw Cen MT" w:cs="Tw Cen MT"/>
          <w:b w:val="0"/>
          <w:bCs w:val="0"/>
          <w:sz w:val="18"/>
          <w:szCs w:val="18"/>
        </w:rPr>
        <w:t xml:space="preserve"> it affects 1 in 250 of</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the population globally, making it an important public health concern. In communities with founder effects, higher</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 xml:space="preserve">disease </w:t>
      </w:r>
      <w:proofErr w:type="spellStart"/>
      <w:r w:rsidR="00190238" w:rsidRPr="00190238">
        <w:rPr>
          <w:rFonts w:ascii="Tw Cen MT" w:eastAsia="Tw Cen MT" w:hAnsi="Tw Cen MT" w:cs="Tw Cen MT"/>
          <w:b w:val="0"/>
          <w:bCs w:val="0"/>
          <w:sz w:val="18"/>
          <w:szCs w:val="18"/>
        </w:rPr>
        <w:t>prevalences</w:t>
      </w:r>
      <w:proofErr w:type="spellEnd"/>
      <w:r w:rsidR="00190238" w:rsidRPr="00190238">
        <w:rPr>
          <w:rFonts w:ascii="Tw Cen MT" w:eastAsia="Tw Cen MT" w:hAnsi="Tw Cen MT" w:cs="Tw Cen MT"/>
          <w:b w:val="0"/>
          <w:bCs w:val="0"/>
          <w:sz w:val="18"/>
          <w:szCs w:val="18"/>
        </w:rPr>
        <w:t xml:space="preserve"> </w:t>
      </w:r>
      <w:proofErr w:type="gramStart"/>
      <w:r w:rsidR="00190238" w:rsidRPr="00190238">
        <w:rPr>
          <w:rFonts w:ascii="Tw Cen MT" w:eastAsia="Tw Cen MT" w:hAnsi="Tw Cen MT" w:cs="Tw Cen MT"/>
          <w:b w:val="0"/>
          <w:bCs w:val="0"/>
          <w:sz w:val="18"/>
          <w:szCs w:val="18"/>
        </w:rPr>
        <w:t>are observed</w:t>
      </w:r>
      <w:proofErr w:type="gramEnd"/>
      <w:r w:rsidR="00190238" w:rsidRPr="00190238">
        <w:rPr>
          <w:rFonts w:ascii="Tw Cen MT" w:eastAsia="Tw Cen MT" w:hAnsi="Tw Cen MT" w:cs="Tw Cen MT"/>
          <w:b w:val="0"/>
          <w:bCs w:val="0"/>
          <w:sz w:val="18"/>
          <w:szCs w:val="18"/>
        </w:rPr>
        <w:t>.</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 xml:space="preserve">We discuss the genetic basis of familial </w:t>
      </w:r>
      <w:proofErr w:type="spellStart"/>
      <w:r w:rsidR="00190238" w:rsidRPr="00190238">
        <w:rPr>
          <w:rFonts w:ascii="Tw Cen MT" w:eastAsia="Tw Cen MT" w:hAnsi="Tw Cen MT" w:cs="Tw Cen MT"/>
          <w:b w:val="0"/>
          <w:bCs w:val="0"/>
          <w:sz w:val="18"/>
          <w:szCs w:val="18"/>
        </w:rPr>
        <w:t>hypercholesterolaemia</w:t>
      </w:r>
      <w:proofErr w:type="spellEnd"/>
      <w:r w:rsidR="00190238" w:rsidRPr="00190238">
        <w:rPr>
          <w:rFonts w:ascii="Tw Cen MT" w:eastAsia="Tw Cen MT" w:hAnsi="Tw Cen MT" w:cs="Tw Cen MT"/>
          <w:b w:val="0"/>
          <w:bCs w:val="0"/>
          <w:sz w:val="18"/>
          <w:szCs w:val="18"/>
        </w:rPr>
        <w:t>, examining the distribution o</w:t>
      </w:r>
      <w:r w:rsidR="00190238">
        <w:rPr>
          <w:rFonts w:ascii="Tw Cen MT" w:eastAsia="Tw Cen MT" w:hAnsi="Tw Cen MT" w:cs="Tw Cen MT"/>
          <w:b w:val="0"/>
          <w:bCs w:val="0"/>
          <w:sz w:val="18"/>
          <w:szCs w:val="18"/>
        </w:rPr>
        <w:t xml:space="preserve">f </w:t>
      </w:r>
      <w:r w:rsidR="00190238" w:rsidRPr="00190238">
        <w:rPr>
          <w:rFonts w:ascii="Tw Cen MT" w:eastAsia="Tw Cen MT" w:hAnsi="Tw Cen MT" w:cs="Tw Cen MT"/>
          <w:b w:val="0"/>
          <w:bCs w:val="0"/>
          <w:sz w:val="18"/>
          <w:szCs w:val="18"/>
        </w:rPr>
        <w:t>variants known to be</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 xml:space="preserve">associated with the condition across the exons of the genes LDLR, </w:t>
      </w:r>
      <w:proofErr w:type="spellStart"/>
      <w:r w:rsidR="00190238" w:rsidRPr="00190238">
        <w:rPr>
          <w:rFonts w:ascii="Tw Cen MT" w:eastAsia="Tw Cen MT" w:hAnsi="Tw Cen MT" w:cs="Tw Cen MT"/>
          <w:b w:val="0"/>
          <w:bCs w:val="0"/>
          <w:sz w:val="18"/>
          <w:szCs w:val="18"/>
        </w:rPr>
        <w:t>ApoB</w:t>
      </w:r>
      <w:proofErr w:type="spellEnd"/>
      <w:r w:rsidR="00190238" w:rsidRPr="00190238">
        <w:rPr>
          <w:rFonts w:ascii="Tw Cen MT" w:eastAsia="Tw Cen MT" w:hAnsi="Tw Cen MT" w:cs="Tw Cen MT"/>
          <w:b w:val="0"/>
          <w:bCs w:val="0"/>
          <w:sz w:val="18"/>
          <w:szCs w:val="18"/>
        </w:rPr>
        <w:t>, PCSK9 and LDLRAP1. We also discuss</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 xml:space="preserve">screening </w:t>
      </w:r>
      <w:proofErr w:type="spellStart"/>
      <w:r w:rsidR="00190238" w:rsidRPr="00190238">
        <w:rPr>
          <w:rFonts w:ascii="Tw Cen MT" w:eastAsia="Tw Cen MT" w:hAnsi="Tw Cen MT" w:cs="Tw Cen MT"/>
          <w:b w:val="0"/>
          <w:bCs w:val="0"/>
          <w:sz w:val="18"/>
          <w:szCs w:val="18"/>
        </w:rPr>
        <w:t>programmes</w:t>
      </w:r>
      <w:proofErr w:type="spellEnd"/>
      <w:r w:rsidR="00190238" w:rsidRPr="00190238">
        <w:rPr>
          <w:rFonts w:ascii="Tw Cen MT" w:eastAsia="Tw Cen MT" w:hAnsi="Tw Cen MT" w:cs="Tw Cen MT"/>
          <w:b w:val="0"/>
          <w:bCs w:val="0"/>
          <w:sz w:val="18"/>
          <w:szCs w:val="18"/>
        </w:rPr>
        <w:t xml:space="preserve"> for familial </w:t>
      </w:r>
      <w:proofErr w:type="spellStart"/>
      <w:r w:rsidR="00190238" w:rsidRPr="00190238">
        <w:rPr>
          <w:rFonts w:ascii="Tw Cen MT" w:eastAsia="Tw Cen MT" w:hAnsi="Tw Cen MT" w:cs="Tw Cen MT"/>
          <w:b w:val="0"/>
          <w:bCs w:val="0"/>
          <w:sz w:val="18"/>
          <w:szCs w:val="18"/>
        </w:rPr>
        <w:t>hypercholesterolaemia</w:t>
      </w:r>
      <w:proofErr w:type="spellEnd"/>
      <w:r w:rsidR="00190238" w:rsidRPr="00190238">
        <w:rPr>
          <w:rFonts w:ascii="Tw Cen MT" w:eastAsia="Tw Cen MT" w:hAnsi="Tw Cen MT" w:cs="Tw Cen MT"/>
          <w:b w:val="0"/>
          <w:bCs w:val="0"/>
          <w:sz w:val="18"/>
          <w:szCs w:val="18"/>
        </w:rPr>
        <w:t xml:space="preserve"> and their cost-effectiveness. Diagnosis typically occurs</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using one of the Dutch Lipid Clinic Network (DCLN), Simon Broome Register (SBR) or Make Early Diagnosis to</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Prevent Early Death (MEDPED) criteria, each of which requires a different set of patient data. New cases can be</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 xml:space="preserve">identified by screening the family members of an index case that has been identified </w:t>
      </w:r>
      <w:proofErr w:type="gramStart"/>
      <w:r w:rsidR="00190238" w:rsidRPr="00190238">
        <w:rPr>
          <w:rFonts w:ascii="Tw Cen MT" w:eastAsia="Tw Cen MT" w:hAnsi="Tw Cen MT" w:cs="Tw Cen MT"/>
          <w:b w:val="0"/>
          <w:bCs w:val="0"/>
          <w:sz w:val="18"/>
          <w:szCs w:val="18"/>
        </w:rPr>
        <w:t>as a result</w:t>
      </w:r>
      <w:proofErr w:type="gramEnd"/>
      <w:r w:rsidR="00190238" w:rsidRPr="00190238">
        <w:rPr>
          <w:rFonts w:ascii="Tw Cen MT" w:eastAsia="Tw Cen MT" w:hAnsi="Tw Cen MT" w:cs="Tw Cen MT"/>
          <w:b w:val="0"/>
          <w:bCs w:val="0"/>
          <w:sz w:val="18"/>
          <w:szCs w:val="18"/>
        </w:rPr>
        <w:t xml:space="preserve"> of referral to a lipid</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 xml:space="preserve">clinic in a process called cascade screening. Alternatively, universal screening </w:t>
      </w:r>
      <w:proofErr w:type="gramStart"/>
      <w:r w:rsidR="00190238" w:rsidRPr="00190238">
        <w:rPr>
          <w:rFonts w:ascii="Tw Cen MT" w:eastAsia="Tw Cen MT" w:hAnsi="Tw Cen MT" w:cs="Tw Cen MT"/>
          <w:b w:val="0"/>
          <w:bCs w:val="0"/>
          <w:sz w:val="18"/>
          <w:szCs w:val="18"/>
        </w:rPr>
        <w:t>may be used</w:t>
      </w:r>
      <w:proofErr w:type="gramEnd"/>
      <w:r w:rsidR="00190238" w:rsidRPr="00190238">
        <w:rPr>
          <w:rFonts w:ascii="Tw Cen MT" w:eastAsia="Tw Cen MT" w:hAnsi="Tw Cen MT" w:cs="Tw Cen MT"/>
          <w:b w:val="0"/>
          <w:bCs w:val="0"/>
          <w:sz w:val="18"/>
          <w:szCs w:val="18"/>
        </w:rPr>
        <w:t xml:space="preserve"> whereby a population is</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systematically screened.</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It is currently significantly more cost effe</w:t>
      </w:r>
      <w:r w:rsidR="00190238">
        <w:rPr>
          <w:rFonts w:ascii="Tw Cen MT" w:eastAsia="Tw Cen MT" w:hAnsi="Tw Cen MT" w:cs="Tw Cen MT"/>
          <w:b w:val="0"/>
          <w:bCs w:val="0"/>
          <w:sz w:val="18"/>
          <w:szCs w:val="18"/>
        </w:rPr>
        <w:t>ctive to identify familial</w:t>
      </w:r>
      <w:r w:rsidR="00190238">
        <w:rPr>
          <w:rFonts w:asciiTheme="minorHAnsi" w:eastAsia="Tw Cen MT" w:hAnsiTheme="minorHAnsi" w:cs="Tw Cen MT"/>
          <w:b w:val="0"/>
          <w:bCs w:val="0"/>
          <w:sz w:val="18"/>
          <w:szCs w:val="18"/>
        </w:rPr>
        <w:t xml:space="preserve"> </w:t>
      </w:r>
      <w:proofErr w:type="spellStart"/>
      <w:r w:rsidR="00190238" w:rsidRPr="00190238">
        <w:rPr>
          <w:rFonts w:ascii="Tw Cen MT" w:eastAsia="Tw Cen MT" w:hAnsi="Tw Cen MT" w:cs="Tw Cen MT"/>
          <w:b w:val="0"/>
          <w:bCs w:val="0"/>
          <w:sz w:val="18"/>
          <w:szCs w:val="18"/>
        </w:rPr>
        <w:t>hypercholesterolaemia</w:t>
      </w:r>
      <w:proofErr w:type="spellEnd"/>
      <w:r w:rsidR="00190238" w:rsidRPr="00190238">
        <w:rPr>
          <w:rFonts w:ascii="Tw Cen MT" w:eastAsia="Tw Cen MT" w:hAnsi="Tw Cen MT" w:cs="Tw Cen MT"/>
          <w:b w:val="0"/>
          <w:bCs w:val="0"/>
          <w:sz w:val="18"/>
          <w:szCs w:val="18"/>
        </w:rPr>
        <w:t xml:space="preserve"> cases through cascade</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screening than universal screening. However, the cost of sequencing patient DNA has fallen dramatically in recent</w:t>
      </w:r>
      <w:r w:rsidR="00190238" w:rsidRPr="00190238">
        <w:rPr>
          <w:rFonts w:asciiTheme="minorHAnsi" w:eastAsia="Tw Cen MT" w:hAnsiTheme="minorHAnsi" w:cs="Tw Cen MT"/>
          <w:b w:val="0"/>
          <w:bCs w:val="0"/>
          <w:sz w:val="18"/>
          <w:szCs w:val="18"/>
        </w:rPr>
        <w:t xml:space="preserve"> </w:t>
      </w:r>
      <w:r w:rsidR="00190238" w:rsidRPr="00190238">
        <w:rPr>
          <w:rFonts w:ascii="Tw Cen MT" w:eastAsia="Tw Cen MT" w:hAnsi="Tw Cen MT" w:cs="Tw Cen MT"/>
          <w:b w:val="0"/>
          <w:bCs w:val="0"/>
          <w:sz w:val="18"/>
          <w:szCs w:val="18"/>
        </w:rPr>
        <w:t>years and if the rate of progress continues, this may change.</w:t>
      </w:r>
      <w:r w:rsidR="00A9710C">
        <w:rPr>
          <w:b w:val="0"/>
        </w:rPr>
        <w:br w:type="column"/>
      </w:r>
      <w:r w:rsidR="00ED14FB">
        <w:rPr>
          <w:color w:val="BF5A14"/>
        </w:rPr>
        <w:t>Image</w:t>
      </w:r>
    </w:p>
    <w:p w:rsidR="000A6FA0" w:rsidRDefault="000A6FA0" w:rsidP="00F16B8A">
      <w:pPr>
        <w:pStyle w:val="3"/>
        <w:spacing w:before="74"/>
        <w:rPr>
          <w:b w:val="0"/>
        </w:rPr>
      </w:pPr>
      <w:r w:rsidRPr="000A6FA0">
        <w:rPr>
          <w:b w:val="0"/>
          <w:noProof/>
          <w:lang w:val="ru-RU" w:eastAsia="ru-RU"/>
        </w:rPr>
        <w:drawing>
          <wp:inline distT="0" distB="0" distL="0" distR="0">
            <wp:extent cx="3363877" cy="2743200"/>
            <wp:effectExtent l="0" t="0" r="8255" b="0"/>
            <wp:docPr id="6" name="Рисунок 6" descr="E:\PSCK9\Безымянный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SCK9\Безымянный2.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6584" r="35897" b="7609"/>
                    <a:stretch/>
                  </pic:blipFill>
                  <pic:spPr bwMode="auto">
                    <a:xfrm>
                      <a:off x="0" y="0"/>
                      <a:ext cx="3379151" cy="2755656"/>
                    </a:xfrm>
                    <a:prstGeom prst="rect">
                      <a:avLst/>
                    </a:prstGeom>
                    <a:noFill/>
                    <a:ln>
                      <a:noFill/>
                    </a:ln>
                    <a:extLst>
                      <a:ext uri="{53640926-AAD7-44D8-BBD7-CCE9431645EC}">
                        <a14:shadowObscured xmlns:a14="http://schemas.microsoft.com/office/drawing/2010/main"/>
                      </a:ext>
                    </a:extLst>
                  </pic:spPr>
                </pic:pic>
              </a:graphicData>
            </a:graphic>
          </wp:inline>
        </w:drawing>
      </w:r>
    </w:p>
    <w:p w:rsidR="00AE3E37" w:rsidRDefault="00AE3E37">
      <w:pPr>
        <w:pStyle w:val="a3"/>
        <w:spacing w:before="2"/>
        <w:rPr>
          <w:rFonts w:ascii="Arial"/>
          <w:b/>
          <w:sz w:val="16"/>
        </w:rPr>
      </w:pPr>
    </w:p>
    <w:p w:rsidR="005973B9" w:rsidRDefault="00F16B8A" w:rsidP="005973B9">
      <w:pPr>
        <w:spacing w:line="204" w:lineRule="exact"/>
        <w:rPr>
          <w:rFonts w:ascii="Arial"/>
          <w:b/>
          <w:sz w:val="20"/>
        </w:rPr>
      </w:pPr>
      <w:r>
        <w:rPr>
          <w:rFonts w:ascii="Arial"/>
          <w:b/>
          <w:color w:val="BF5A14"/>
          <w:sz w:val="20"/>
        </w:rPr>
        <w:br/>
        <w:t>Recent Publications</w:t>
      </w:r>
    </w:p>
    <w:p w:rsidR="00F16B8A" w:rsidRPr="00F16B8A" w:rsidRDefault="00F16B8A" w:rsidP="00F16B8A">
      <w:pPr>
        <w:tabs>
          <w:tab w:val="left" w:pos="384"/>
        </w:tabs>
        <w:ind w:right="117"/>
        <w:rPr>
          <w:rFonts w:ascii="Calibri" w:eastAsia="Calibri" w:hAnsi="Calibri" w:cs="Calibri"/>
          <w:sz w:val="18"/>
        </w:rPr>
      </w:pPr>
      <w:r w:rsidRPr="00F16B8A">
        <w:rPr>
          <w:rFonts w:ascii="Calibri" w:eastAsia="Calibri" w:hAnsi="Calibri" w:cs="Calibri"/>
          <w:sz w:val="18"/>
        </w:rPr>
        <w:t xml:space="preserve">1. </w:t>
      </w:r>
      <w:proofErr w:type="spellStart"/>
      <w:r w:rsidRPr="00F16B8A">
        <w:rPr>
          <w:rFonts w:ascii="Calibri" w:eastAsia="Calibri" w:hAnsi="Calibri" w:cs="Calibri"/>
          <w:sz w:val="18"/>
        </w:rPr>
        <w:t>Sjouke</w:t>
      </w:r>
      <w:proofErr w:type="spellEnd"/>
      <w:r w:rsidRPr="00F16B8A">
        <w:rPr>
          <w:rFonts w:ascii="Calibri" w:eastAsia="Calibri" w:hAnsi="Calibri" w:cs="Calibri"/>
          <w:sz w:val="18"/>
        </w:rPr>
        <w:t xml:space="preserve"> B, </w:t>
      </w:r>
      <w:proofErr w:type="spellStart"/>
      <w:r w:rsidRPr="00F16B8A">
        <w:rPr>
          <w:rFonts w:ascii="Calibri" w:eastAsia="Calibri" w:hAnsi="Calibri" w:cs="Calibri"/>
          <w:sz w:val="18"/>
        </w:rPr>
        <w:t>Kusters</w:t>
      </w:r>
      <w:proofErr w:type="spellEnd"/>
      <w:r w:rsidRPr="00F16B8A">
        <w:rPr>
          <w:rFonts w:ascii="Calibri" w:eastAsia="Calibri" w:hAnsi="Calibri" w:cs="Calibri"/>
          <w:sz w:val="18"/>
        </w:rPr>
        <w:t xml:space="preserve"> DM, et al. Homozygous autosomal dominant</w:t>
      </w:r>
    </w:p>
    <w:p w:rsidR="00F16B8A" w:rsidRDefault="00F16B8A" w:rsidP="00F16B8A">
      <w:pPr>
        <w:tabs>
          <w:tab w:val="left" w:pos="384"/>
        </w:tabs>
        <w:ind w:right="117"/>
        <w:rPr>
          <w:rFonts w:ascii="Calibri" w:eastAsia="Calibri" w:hAnsi="Calibri" w:cs="Calibri"/>
          <w:sz w:val="18"/>
        </w:rPr>
      </w:pPr>
      <w:proofErr w:type="spellStart"/>
      <w:proofErr w:type="gramStart"/>
      <w:r w:rsidRPr="00F16B8A">
        <w:rPr>
          <w:rFonts w:ascii="Calibri" w:eastAsia="Calibri" w:hAnsi="Calibri" w:cs="Calibri"/>
          <w:sz w:val="18"/>
        </w:rPr>
        <w:t>hypercholesterolaemia</w:t>
      </w:r>
      <w:proofErr w:type="spellEnd"/>
      <w:proofErr w:type="gramEnd"/>
      <w:r w:rsidRPr="00F16B8A">
        <w:rPr>
          <w:rFonts w:ascii="Calibri" w:eastAsia="Calibri" w:hAnsi="Calibri" w:cs="Calibri"/>
          <w:sz w:val="18"/>
        </w:rPr>
        <w:t xml:space="preserve"> in the Netherlands: prevalence, genotype-phenotype relationship, and clinical outcome. </w:t>
      </w:r>
      <w:proofErr w:type="spellStart"/>
      <w:r w:rsidRPr="00F16B8A">
        <w:rPr>
          <w:rFonts w:ascii="Calibri" w:eastAsia="Calibri" w:hAnsi="Calibri" w:cs="Calibri"/>
          <w:sz w:val="18"/>
        </w:rPr>
        <w:t>Eur</w:t>
      </w:r>
      <w:proofErr w:type="spellEnd"/>
      <w:r w:rsidRPr="00F16B8A">
        <w:rPr>
          <w:rFonts w:ascii="Calibri" w:eastAsia="Calibri" w:hAnsi="Calibri" w:cs="Calibri"/>
          <w:sz w:val="18"/>
        </w:rPr>
        <w:t xml:space="preserve"> Heart J. 2015</w:t>
      </w:r>
      <w:proofErr w:type="gramStart"/>
      <w:r w:rsidRPr="00F16B8A">
        <w:rPr>
          <w:rFonts w:ascii="Calibri" w:eastAsia="Calibri" w:hAnsi="Calibri" w:cs="Calibri"/>
          <w:sz w:val="18"/>
        </w:rPr>
        <w:t>;36</w:t>
      </w:r>
      <w:proofErr w:type="gramEnd"/>
      <w:r w:rsidRPr="00F16B8A">
        <w:rPr>
          <w:rFonts w:ascii="Calibri" w:eastAsia="Calibri" w:hAnsi="Calibri" w:cs="Calibri"/>
          <w:sz w:val="18"/>
        </w:rPr>
        <w:t>(9):560.</w:t>
      </w:r>
    </w:p>
    <w:p w:rsidR="00F16B8A" w:rsidRPr="00F16B8A" w:rsidRDefault="00F16B8A" w:rsidP="00F16B8A">
      <w:pPr>
        <w:tabs>
          <w:tab w:val="left" w:pos="384"/>
        </w:tabs>
        <w:ind w:right="117"/>
        <w:rPr>
          <w:rFonts w:ascii="Calibri" w:eastAsia="Calibri" w:hAnsi="Calibri" w:cs="Calibri"/>
          <w:sz w:val="18"/>
        </w:rPr>
      </w:pPr>
    </w:p>
    <w:p w:rsidR="00F16B8A" w:rsidRPr="00F16B8A" w:rsidRDefault="00F16B8A" w:rsidP="00F16B8A">
      <w:pPr>
        <w:tabs>
          <w:tab w:val="left" w:pos="384"/>
        </w:tabs>
        <w:ind w:right="117"/>
        <w:rPr>
          <w:rFonts w:ascii="Calibri" w:eastAsia="Calibri" w:hAnsi="Calibri" w:cs="Calibri"/>
          <w:sz w:val="18"/>
        </w:rPr>
      </w:pPr>
      <w:r w:rsidRPr="00F16B8A">
        <w:rPr>
          <w:rFonts w:ascii="Calibri" w:eastAsia="Calibri" w:hAnsi="Calibri" w:cs="Calibri"/>
          <w:sz w:val="18"/>
        </w:rPr>
        <w:t xml:space="preserve">2. </w:t>
      </w:r>
      <w:proofErr w:type="spellStart"/>
      <w:r w:rsidRPr="00F16B8A">
        <w:rPr>
          <w:rFonts w:ascii="Calibri" w:eastAsia="Calibri" w:hAnsi="Calibri" w:cs="Calibri"/>
          <w:sz w:val="18"/>
        </w:rPr>
        <w:t>Ademi</w:t>
      </w:r>
      <w:proofErr w:type="spellEnd"/>
      <w:r w:rsidRPr="00F16B8A">
        <w:rPr>
          <w:rFonts w:ascii="Calibri" w:eastAsia="Calibri" w:hAnsi="Calibri" w:cs="Calibri"/>
          <w:sz w:val="18"/>
        </w:rPr>
        <w:t xml:space="preserve"> Z, Watts GF, et al. Cascade screening based on genetic testing is cost-effective: evidence for the implementation of models of care for</w:t>
      </w:r>
    </w:p>
    <w:p w:rsidR="00F16B8A" w:rsidRDefault="00F16B8A" w:rsidP="00F16B8A">
      <w:pPr>
        <w:tabs>
          <w:tab w:val="left" w:pos="384"/>
        </w:tabs>
        <w:ind w:right="117"/>
        <w:rPr>
          <w:rFonts w:ascii="Calibri" w:eastAsia="Calibri" w:hAnsi="Calibri" w:cs="Calibri"/>
          <w:sz w:val="18"/>
        </w:rPr>
      </w:pPr>
      <w:proofErr w:type="gramStart"/>
      <w:r w:rsidRPr="00F16B8A">
        <w:rPr>
          <w:rFonts w:ascii="Calibri" w:eastAsia="Calibri" w:hAnsi="Calibri" w:cs="Calibri"/>
          <w:sz w:val="18"/>
        </w:rPr>
        <w:t>familial</w:t>
      </w:r>
      <w:proofErr w:type="gramEnd"/>
      <w:r w:rsidRPr="00F16B8A">
        <w:rPr>
          <w:rFonts w:ascii="Calibri" w:eastAsia="Calibri" w:hAnsi="Calibri" w:cs="Calibri"/>
          <w:sz w:val="18"/>
        </w:rPr>
        <w:t xml:space="preserve"> hypercholesterolemia. J </w:t>
      </w:r>
      <w:proofErr w:type="spellStart"/>
      <w:r w:rsidRPr="00F16B8A">
        <w:rPr>
          <w:rFonts w:ascii="Calibri" w:eastAsia="Calibri" w:hAnsi="Calibri" w:cs="Calibri"/>
          <w:sz w:val="18"/>
        </w:rPr>
        <w:t>Clin</w:t>
      </w:r>
      <w:proofErr w:type="spellEnd"/>
      <w:r w:rsidRPr="00F16B8A">
        <w:rPr>
          <w:rFonts w:ascii="Calibri" w:eastAsia="Calibri" w:hAnsi="Calibri" w:cs="Calibri"/>
          <w:sz w:val="18"/>
        </w:rPr>
        <w:t xml:space="preserve"> </w:t>
      </w:r>
      <w:proofErr w:type="spellStart"/>
      <w:r w:rsidRPr="00F16B8A">
        <w:rPr>
          <w:rFonts w:ascii="Calibri" w:eastAsia="Calibri" w:hAnsi="Calibri" w:cs="Calibri"/>
          <w:sz w:val="18"/>
        </w:rPr>
        <w:t>Lipidol</w:t>
      </w:r>
      <w:proofErr w:type="spellEnd"/>
      <w:r w:rsidRPr="00F16B8A">
        <w:rPr>
          <w:rFonts w:ascii="Calibri" w:eastAsia="Calibri" w:hAnsi="Calibri" w:cs="Calibri"/>
          <w:sz w:val="18"/>
        </w:rPr>
        <w:t>. 2014</w:t>
      </w:r>
      <w:proofErr w:type="gramStart"/>
      <w:r w:rsidRPr="00F16B8A">
        <w:rPr>
          <w:rFonts w:ascii="Calibri" w:eastAsia="Calibri" w:hAnsi="Calibri" w:cs="Calibri"/>
          <w:sz w:val="18"/>
        </w:rPr>
        <w:t>;8</w:t>
      </w:r>
      <w:proofErr w:type="gramEnd"/>
      <w:r w:rsidRPr="00F16B8A">
        <w:rPr>
          <w:rFonts w:ascii="Calibri" w:eastAsia="Calibri" w:hAnsi="Calibri" w:cs="Calibri"/>
          <w:sz w:val="18"/>
        </w:rPr>
        <w:t>(4):390–400.</w:t>
      </w:r>
    </w:p>
    <w:p w:rsidR="00F16B8A" w:rsidRPr="00F16B8A" w:rsidRDefault="00F16B8A" w:rsidP="00F16B8A">
      <w:pPr>
        <w:tabs>
          <w:tab w:val="left" w:pos="384"/>
        </w:tabs>
        <w:ind w:right="117"/>
        <w:rPr>
          <w:rFonts w:ascii="Calibri" w:eastAsia="Calibri" w:hAnsi="Calibri" w:cs="Calibri"/>
          <w:sz w:val="18"/>
        </w:rPr>
      </w:pPr>
    </w:p>
    <w:p w:rsidR="00F16B8A" w:rsidRPr="00F16B8A" w:rsidRDefault="00F16B8A" w:rsidP="00F16B8A">
      <w:pPr>
        <w:tabs>
          <w:tab w:val="left" w:pos="384"/>
        </w:tabs>
        <w:ind w:right="117"/>
        <w:rPr>
          <w:rFonts w:ascii="Calibri" w:eastAsia="Calibri" w:hAnsi="Calibri" w:cs="Calibri"/>
          <w:sz w:val="18"/>
        </w:rPr>
      </w:pPr>
      <w:r w:rsidRPr="00F16B8A">
        <w:rPr>
          <w:rFonts w:ascii="Calibri" w:eastAsia="Calibri" w:hAnsi="Calibri" w:cs="Calibri"/>
          <w:sz w:val="18"/>
        </w:rPr>
        <w:t xml:space="preserve">3. </w:t>
      </w:r>
      <w:proofErr w:type="spellStart"/>
      <w:r w:rsidRPr="00F16B8A">
        <w:rPr>
          <w:rFonts w:ascii="Calibri" w:eastAsia="Calibri" w:hAnsi="Calibri" w:cs="Calibri"/>
          <w:sz w:val="18"/>
        </w:rPr>
        <w:t>Nordestgaard</w:t>
      </w:r>
      <w:proofErr w:type="spellEnd"/>
      <w:r w:rsidRPr="00F16B8A">
        <w:rPr>
          <w:rFonts w:ascii="Calibri" w:eastAsia="Calibri" w:hAnsi="Calibri" w:cs="Calibri"/>
          <w:sz w:val="18"/>
        </w:rPr>
        <w:t xml:space="preserve"> BG, Chapman MJ, et al. Familial </w:t>
      </w:r>
      <w:proofErr w:type="spellStart"/>
      <w:r w:rsidRPr="00F16B8A">
        <w:rPr>
          <w:rFonts w:ascii="Calibri" w:eastAsia="Calibri" w:hAnsi="Calibri" w:cs="Calibri"/>
          <w:sz w:val="18"/>
        </w:rPr>
        <w:t>hypercholesterolaemia</w:t>
      </w:r>
      <w:proofErr w:type="spellEnd"/>
      <w:r w:rsidRPr="00F16B8A">
        <w:rPr>
          <w:rFonts w:ascii="Calibri" w:eastAsia="Calibri" w:hAnsi="Calibri" w:cs="Calibri"/>
          <w:sz w:val="18"/>
        </w:rPr>
        <w:t xml:space="preserve"> is</w:t>
      </w:r>
    </w:p>
    <w:p w:rsidR="00F16B8A" w:rsidRDefault="00F16B8A" w:rsidP="00F16B8A">
      <w:pPr>
        <w:tabs>
          <w:tab w:val="left" w:pos="384"/>
        </w:tabs>
        <w:ind w:right="117"/>
        <w:rPr>
          <w:rFonts w:ascii="Calibri" w:eastAsia="Calibri" w:hAnsi="Calibri" w:cs="Calibri"/>
          <w:sz w:val="18"/>
        </w:rPr>
      </w:pPr>
      <w:proofErr w:type="gramStart"/>
      <w:r w:rsidRPr="00F16B8A">
        <w:rPr>
          <w:rFonts w:ascii="Calibri" w:eastAsia="Calibri" w:hAnsi="Calibri" w:cs="Calibri"/>
          <w:sz w:val="18"/>
        </w:rPr>
        <w:t>underdiagnosed</w:t>
      </w:r>
      <w:proofErr w:type="gramEnd"/>
      <w:r w:rsidRPr="00F16B8A">
        <w:rPr>
          <w:rFonts w:ascii="Calibri" w:eastAsia="Calibri" w:hAnsi="Calibri" w:cs="Calibri"/>
          <w:sz w:val="18"/>
        </w:rPr>
        <w:t xml:space="preserve"> and undertreated in the general population: guidance for clinicians to prevent coronary heart disease. </w:t>
      </w:r>
      <w:proofErr w:type="spellStart"/>
      <w:r w:rsidRPr="00F16B8A">
        <w:rPr>
          <w:rFonts w:ascii="Calibri" w:eastAsia="Calibri" w:hAnsi="Calibri" w:cs="Calibri"/>
          <w:sz w:val="18"/>
        </w:rPr>
        <w:t>Eur</w:t>
      </w:r>
      <w:proofErr w:type="spellEnd"/>
      <w:r w:rsidRPr="00F16B8A">
        <w:rPr>
          <w:rFonts w:ascii="Calibri" w:eastAsia="Calibri" w:hAnsi="Calibri" w:cs="Calibri"/>
          <w:sz w:val="18"/>
        </w:rPr>
        <w:t xml:space="preserve"> Heart J. 2013</w:t>
      </w:r>
      <w:proofErr w:type="gramStart"/>
      <w:r w:rsidRPr="00F16B8A">
        <w:rPr>
          <w:rFonts w:ascii="Calibri" w:eastAsia="Calibri" w:hAnsi="Calibri" w:cs="Calibri"/>
          <w:sz w:val="18"/>
        </w:rPr>
        <w:t>;34</w:t>
      </w:r>
      <w:proofErr w:type="gramEnd"/>
      <w:r w:rsidRPr="00F16B8A">
        <w:rPr>
          <w:rFonts w:ascii="Calibri" w:eastAsia="Calibri" w:hAnsi="Calibri" w:cs="Calibri"/>
          <w:sz w:val="18"/>
        </w:rPr>
        <w:t>(45):3478–90.</w:t>
      </w:r>
    </w:p>
    <w:p w:rsidR="00F16B8A" w:rsidRPr="00F16B8A" w:rsidRDefault="00F16B8A" w:rsidP="00F16B8A">
      <w:pPr>
        <w:tabs>
          <w:tab w:val="left" w:pos="384"/>
        </w:tabs>
        <w:ind w:right="117"/>
        <w:rPr>
          <w:rFonts w:ascii="Calibri" w:eastAsia="Calibri" w:hAnsi="Calibri" w:cs="Calibri"/>
          <w:sz w:val="18"/>
        </w:rPr>
      </w:pPr>
    </w:p>
    <w:p w:rsidR="00F16B8A" w:rsidRDefault="00F16B8A" w:rsidP="00F16B8A">
      <w:pPr>
        <w:tabs>
          <w:tab w:val="left" w:pos="384"/>
        </w:tabs>
        <w:ind w:right="117"/>
        <w:rPr>
          <w:rFonts w:ascii="Calibri" w:eastAsia="Calibri" w:hAnsi="Calibri" w:cs="Calibri"/>
          <w:sz w:val="18"/>
        </w:rPr>
      </w:pPr>
      <w:r w:rsidRPr="00F16B8A">
        <w:rPr>
          <w:rFonts w:ascii="Calibri" w:eastAsia="Calibri" w:hAnsi="Calibri" w:cs="Calibri"/>
          <w:sz w:val="18"/>
        </w:rPr>
        <w:t xml:space="preserve">4. Reiner Z. Management of patients with familial </w:t>
      </w:r>
      <w:proofErr w:type="spellStart"/>
      <w:r w:rsidRPr="00F16B8A">
        <w:rPr>
          <w:rFonts w:ascii="Calibri" w:eastAsia="Calibri" w:hAnsi="Calibri" w:cs="Calibri"/>
          <w:sz w:val="18"/>
        </w:rPr>
        <w:t>hypercholesterolaemia</w:t>
      </w:r>
      <w:proofErr w:type="spellEnd"/>
      <w:r w:rsidRPr="00F16B8A">
        <w:rPr>
          <w:rFonts w:ascii="Calibri" w:eastAsia="Calibri" w:hAnsi="Calibri" w:cs="Calibri"/>
          <w:sz w:val="18"/>
        </w:rPr>
        <w:t xml:space="preserve">. Nat Rev </w:t>
      </w:r>
      <w:proofErr w:type="spellStart"/>
      <w:r w:rsidRPr="00F16B8A">
        <w:rPr>
          <w:rFonts w:ascii="Calibri" w:eastAsia="Calibri" w:hAnsi="Calibri" w:cs="Calibri"/>
          <w:sz w:val="18"/>
        </w:rPr>
        <w:t>Cardiol</w:t>
      </w:r>
      <w:proofErr w:type="spellEnd"/>
      <w:r w:rsidRPr="00F16B8A">
        <w:rPr>
          <w:rFonts w:ascii="Calibri" w:eastAsia="Calibri" w:hAnsi="Calibri" w:cs="Calibri"/>
          <w:sz w:val="18"/>
        </w:rPr>
        <w:t>. 2015</w:t>
      </w:r>
      <w:proofErr w:type="gramStart"/>
      <w:r w:rsidRPr="00F16B8A">
        <w:rPr>
          <w:rFonts w:ascii="Calibri" w:eastAsia="Calibri" w:hAnsi="Calibri" w:cs="Calibri"/>
          <w:sz w:val="18"/>
        </w:rPr>
        <w:t>;12:565</w:t>
      </w:r>
      <w:proofErr w:type="gramEnd"/>
      <w:r w:rsidRPr="00F16B8A">
        <w:rPr>
          <w:rFonts w:ascii="Calibri" w:eastAsia="Calibri" w:hAnsi="Calibri" w:cs="Calibri"/>
          <w:sz w:val="18"/>
        </w:rPr>
        <w:t>–75.</w:t>
      </w:r>
    </w:p>
    <w:p w:rsidR="00F16B8A" w:rsidRPr="00F16B8A" w:rsidRDefault="00F16B8A" w:rsidP="00F16B8A">
      <w:pPr>
        <w:tabs>
          <w:tab w:val="left" w:pos="384"/>
        </w:tabs>
        <w:ind w:right="117"/>
        <w:rPr>
          <w:rFonts w:ascii="Calibri" w:eastAsia="Calibri" w:hAnsi="Calibri" w:cs="Calibri"/>
          <w:sz w:val="18"/>
        </w:rPr>
      </w:pPr>
    </w:p>
    <w:p w:rsidR="00AE3E37" w:rsidRPr="00F16B8A" w:rsidRDefault="00F16B8A" w:rsidP="00F16B8A">
      <w:pPr>
        <w:tabs>
          <w:tab w:val="left" w:pos="384"/>
        </w:tabs>
        <w:ind w:right="117"/>
        <w:rPr>
          <w:rFonts w:ascii="Calibri" w:eastAsia="Calibri" w:hAnsi="Calibri" w:cs="Calibri"/>
          <w:sz w:val="18"/>
        </w:rPr>
      </w:pPr>
      <w:r w:rsidRPr="00F16B8A">
        <w:rPr>
          <w:rFonts w:ascii="Calibri" w:eastAsia="Calibri" w:hAnsi="Calibri" w:cs="Calibri"/>
          <w:sz w:val="18"/>
        </w:rPr>
        <w:t xml:space="preserve">5. </w:t>
      </w:r>
      <w:proofErr w:type="spellStart"/>
      <w:r w:rsidRPr="00F16B8A">
        <w:rPr>
          <w:rFonts w:ascii="Calibri" w:eastAsia="Calibri" w:hAnsi="Calibri" w:cs="Calibri"/>
          <w:sz w:val="18"/>
        </w:rPr>
        <w:t>Cuchel</w:t>
      </w:r>
      <w:proofErr w:type="spellEnd"/>
      <w:r w:rsidRPr="00F16B8A">
        <w:rPr>
          <w:rFonts w:ascii="Calibri" w:eastAsia="Calibri" w:hAnsi="Calibri" w:cs="Calibri"/>
          <w:sz w:val="18"/>
        </w:rPr>
        <w:t xml:space="preserve"> M, </w:t>
      </w:r>
      <w:proofErr w:type="spellStart"/>
      <w:r w:rsidRPr="00F16B8A">
        <w:rPr>
          <w:rFonts w:ascii="Calibri" w:eastAsia="Calibri" w:hAnsi="Calibri" w:cs="Calibri"/>
          <w:sz w:val="18"/>
        </w:rPr>
        <w:t>Bruckert</w:t>
      </w:r>
      <w:proofErr w:type="spellEnd"/>
      <w:r w:rsidRPr="00F16B8A">
        <w:rPr>
          <w:rFonts w:ascii="Calibri" w:eastAsia="Calibri" w:hAnsi="Calibri" w:cs="Calibri"/>
          <w:sz w:val="18"/>
        </w:rPr>
        <w:t xml:space="preserve"> E, et al. Homozygous familial </w:t>
      </w:r>
      <w:proofErr w:type="spellStart"/>
      <w:r w:rsidRPr="00F16B8A">
        <w:rPr>
          <w:rFonts w:ascii="Calibri" w:eastAsia="Calibri" w:hAnsi="Calibri" w:cs="Calibri"/>
          <w:sz w:val="18"/>
        </w:rPr>
        <w:t>hypercholesterolaemia</w:t>
      </w:r>
      <w:proofErr w:type="spellEnd"/>
      <w:r w:rsidRPr="00F16B8A">
        <w:rPr>
          <w:rFonts w:ascii="Calibri" w:eastAsia="Calibri" w:hAnsi="Calibri" w:cs="Calibri"/>
          <w:sz w:val="18"/>
        </w:rPr>
        <w:t>: new insights and guidance for clinicians to</w:t>
      </w:r>
      <w:r>
        <w:rPr>
          <w:rFonts w:ascii="Calibri" w:eastAsia="Calibri" w:hAnsi="Calibri" w:cs="Calibri"/>
          <w:sz w:val="18"/>
        </w:rPr>
        <w:t xml:space="preserve"> improve detection and clinical </w:t>
      </w:r>
      <w:r w:rsidRPr="00F16B8A">
        <w:rPr>
          <w:rFonts w:ascii="Calibri" w:eastAsia="Calibri" w:hAnsi="Calibri" w:cs="Calibri"/>
          <w:sz w:val="18"/>
        </w:rPr>
        <w:t xml:space="preserve">management. A position paper from the Consensus </w:t>
      </w:r>
      <w:r>
        <w:rPr>
          <w:rFonts w:ascii="Calibri" w:eastAsia="Calibri" w:hAnsi="Calibri" w:cs="Calibri"/>
          <w:sz w:val="18"/>
        </w:rPr>
        <w:t xml:space="preserve">Panel on Familial </w:t>
      </w:r>
      <w:proofErr w:type="spellStart"/>
      <w:r w:rsidRPr="00F16B8A">
        <w:rPr>
          <w:rFonts w:ascii="Calibri" w:eastAsia="Calibri" w:hAnsi="Calibri" w:cs="Calibri"/>
          <w:sz w:val="18"/>
        </w:rPr>
        <w:t>Hypercholesterolaemia</w:t>
      </w:r>
      <w:proofErr w:type="spellEnd"/>
      <w:r w:rsidRPr="00F16B8A">
        <w:rPr>
          <w:rFonts w:ascii="Calibri" w:eastAsia="Calibri" w:hAnsi="Calibri" w:cs="Calibri"/>
          <w:sz w:val="18"/>
        </w:rPr>
        <w:t xml:space="preserve"> of the Eu</w:t>
      </w:r>
      <w:r>
        <w:rPr>
          <w:rFonts w:ascii="Calibri" w:eastAsia="Calibri" w:hAnsi="Calibri" w:cs="Calibri"/>
          <w:sz w:val="18"/>
        </w:rPr>
        <w:t xml:space="preserve">ropean Atherosclerosis Society. </w:t>
      </w:r>
      <w:proofErr w:type="spellStart"/>
      <w:r w:rsidRPr="00F16B8A">
        <w:rPr>
          <w:rFonts w:ascii="Calibri" w:eastAsia="Calibri" w:hAnsi="Calibri" w:cs="Calibri"/>
          <w:sz w:val="18"/>
        </w:rPr>
        <w:t>Eur</w:t>
      </w:r>
      <w:proofErr w:type="spellEnd"/>
      <w:r w:rsidRPr="00F16B8A">
        <w:rPr>
          <w:rFonts w:ascii="Calibri" w:eastAsia="Calibri" w:hAnsi="Calibri" w:cs="Calibri"/>
          <w:sz w:val="18"/>
        </w:rPr>
        <w:t xml:space="preserve"> Heart J. 2014</w:t>
      </w:r>
      <w:proofErr w:type="gramStart"/>
      <w:r w:rsidRPr="00F16B8A">
        <w:rPr>
          <w:rFonts w:ascii="Calibri" w:eastAsia="Calibri" w:hAnsi="Calibri" w:cs="Calibri"/>
          <w:sz w:val="18"/>
        </w:rPr>
        <w:t>;35</w:t>
      </w:r>
      <w:proofErr w:type="gramEnd"/>
      <w:r>
        <w:rPr>
          <w:rFonts w:ascii="Calibri" w:eastAsia="Calibri" w:hAnsi="Calibri" w:cs="Calibri"/>
          <w:sz w:val="18"/>
        </w:rPr>
        <w:t xml:space="preserve"> </w:t>
      </w:r>
      <w:r w:rsidRPr="00F16B8A">
        <w:rPr>
          <w:rFonts w:ascii="Calibri" w:eastAsia="Calibri" w:hAnsi="Calibri" w:cs="Calibri"/>
          <w:sz w:val="18"/>
        </w:rPr>
        <w:t xml:space="preserve">(32):2146–57.    </w:t>
      </w:r>
    </w:p>
    <w:p w:rsidR="000A6FA0" w:rsidRDefault="008756E6">
      <w:pPr>
        <w:spacing w:line="200" w:lineRule="exact"/>
        <w:jc w:val="both"/>
        <w:rPr>
          <w:rFonts w:ascii="Calibri" w:hAnsi="Calibri"/>
        </w:rPr>
        <w:sectPr w:rsidR="000A6FA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B8C6B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097C3E" w:rsidP="00404E5B">
      <w:pPr>
        <w:spacing w:before="92"/>
        <w:ind w:right="4234"/>
        <w:rPr>
          <w:rFonts w:ascii="Arial"/>
        </w:rPr>
      </w:pPr>
      <w:r>
        <w:rPr>
          <w:noProof/>
          <w:lang w:val="ru-RU" w:eastAsia="ru-RU"/>
        </w:rPr>
        <w:drawing>
          <wp:anchor distT="0" distB="0" distL="114300" distR="114300" simplePos="0" relativeHeight="251674112" behindDoc="1" locked="0" layoutInCell="1" allowOverlap="1">
            <wp:simplePos x="0" y="0"/>
            <wp:positionH relativeFrom="column">
              <wp:posOffset>111125</wp:posOffset>
            </wp:positionH>
            <wp:positionV relativeFrom="paragraph">
              <wp:posOffset>33020</wp:posOffset>
            </wp:positionV>
            <wp:extent cx="400050" cy="987425"/>
            <wp:effectExtent l="0" t="0" r="0" b="3175"/>
            <wp:wrapTight wrapText="bothSides">
              <wp:wrapPolygon edited="0">
                <wp:start x="0" y="0"/>
                <wp:lineTo x="0" y="21253"/>
                <wp:lineTo x="20571" y="21253"/>
                <wp:lineTo x="2057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3984" r="25683"/>
                    <a:stretch/>
                  </pic:blipFill>
                  <pic:spPr bwMode="auto">
                    <a:xfrm>
                      <a:off x="0" y="0"/>
                      <a:ext cx="400050" cy="987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r w:rsidR="000642C6">
        <w:rPr>
          <w:noProof/>
        </w:rPr>
        <w:t xml:space="preserve">    </w:t>
      </w:r>
      <w:r w:rsidR="00A9710C">
        <w:rPr>
          <w:rFonts w:ascii="Arial"/>
          <w:color w:val="BF5A14"/>
        </w:rPr>
        <w:t>Biography</w:t>
      </w:r>
      <w:r w:rsidR="00404E5B">
        <w:rPr>
          <w:rFonts w:ascii="Arial"/>
          <w:color w:val="BF5A14"/>
        </w:rPr>
        <w:t xml:space="preserve"> </w:t>
      </w:r>
    </w:p>
    <w:p w:rsidR="00F16B8A" w:rsidRDefault="00097C3E">
      <w:pPr>
        <w:spacing w:before="41" w:line="154" w:lineRule="exact"/>
        <w:ind w:left="213" w:right="231"/>
        <w:jc w:val="both"/>
        <w:rPr>
          <w:rFonts w:ascii="Arial"/>
          <w:sz w:val="14"/>
        </w:rPr>
      </w:pPr>
      <w:r w:rsidRPr="00097C3E">
        <w:rPr>
          <w:rFonts w:ascii="Arial"/>
          <w:sz w:val="14"/>
        </w:rPr>
        <w:t xml:space="preserve">Victor Kerchev and his co-authors has its own experience in evaluating and passion to improve the health and well-being of </w:t>
      </w:r>
      <w:proofErr w:type="spellStart"/>
      <w:r w:rsidRPr="00097C3E">
        <w:rPr>
          <w:rFonts w:ascii="Arial"/>
          <w:sz w:val="14"/>
        </w:rPr>
        <w:t>cardiological</w:t>
      </w:r>
      <w:proofErr w:type="spellEnd"/>
      <w:r w:rsidRPr="00097C3E">
        <w:rPr>
          <w:rFonts w:ascii="Arial"/>
          <w:sz w:val="14"/>
        </w:rPr>
        <w:t xml:space="preserve"> patients. The </w:t>
      </w:r>
      <w:proofErr w:type="gramStart"/>
      <w:r w:rsidRPr="00097C3E">
        <w:rPr>
          <w:rFonts w:ascii="Arial"/>
          <w:sz w:val="14"/>
        </w:rPr>
        <w:t>authors</w:t>
      </w:r>
      <w:proofErr w:type="gramEnd"/>
      <w:r w:rsidRPr="00097C3E">
        <w:rPr>
          <w:rFonts w:ascii="Arial"/>
          <w:sz w:val="14"/>
        </w:rPr>
        <w:t xml:space="preserve"> open and contextual assessment model based on reacting Constructivists creates new ways to improve the medical care of patients with the familial form of hypercholesterolemia. They created the model after many years of experience in research, evaluation and training in hospitals and schools. This approach responds to all parties concerned, and has a different focusing method.</w:t>
      </w:r>
    </w:p>
    <w:p w:rsidR="00AE3E37" w:rsidRDefault="00A9710C">
      <w:pPr>
        <w:spacing w:before="62"/>
        <w:ind w:left="4217" w:right="4235"/>
        <w:jc w:val="center"/>
        <w:rPr>
          <w:rStyle w:val="ac"/>
          <w:rFonts w:ascii="Arial"/>
          <w:sz w:val="14"/>
        </w:rPr>
      </w:pPr>
      <w:r>
        <w:rPr>
          <w:rFonts w:ascii="Arial"/>
          <w:sz w:val="14"/>
        </w:rPr>
        <w:t xml:space="preserve">Email: </w:t>
      </w:r>
      <w:hyperlink r:id="rId12" w:history="1">
        <w:r w:rsidR="00097C3E" w:rsidRPr="000C1161">
          <w:rPr>
            <w:rStyle w:val="ac"/>
            <w:rFonts w:ascii="Arial"/>
            <w:sz w:val="14"/>
          </w:rPr>
          <w:t>Vi_Dok@citydom.ru</w:t>
        </w:r>
      </w:hyperlink>
    </w:p>
    <w:p w:rsidR="00827B1F" w:rsidRPr="00827B1F" w:rsidRDefault="00827B1F">
      <w:pPr>
        <w:spacing w:before="62"/>
        <w:ind w:left="4217" w:right="4235"/>
        <w:jc w:val="center"/>
        <w:rPr>
          <w:rFonts w:ascii="Arial"/>
          <w:sz w:val="14"/>
        </w:rPr>
      </w:pPr>
      <w:r w:rsidRPr="00827B1F">
        <w:rPr>
          <w:rStyle w:val="ac"/>
          <w:rFonts w:ascii="Arial"/>
          <w:color w:val="auto"/>
          <w:sz w:val="14"/>
          <w:u w:val="none"/>
        </w:rPr>
        <w:t xml:space="preserve">Phone: </w:t>
      </w:r>
      <w:r w:rsidR="00097C3E">
        <w:rPr>
          <w:rStyle w:val="ac"/>
          <w:rFonts w:ascii="Arial"/>
          <w:color w:val="auto"/>
          <w:sz w:val="14"/>
          <w:u w:val="none"/>
        </w:rPr>
        <w:t>+7-925-911-73-39</w:t>
      </w:r>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3FE1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16B8A" w:rsidRDefault="00A9710C" w:rsidP="00F16B8A">
      <w:pPr>
        <w:spacing w:before="39"/>
        <w:ind w:left="100"/>
        <w:rPr>
          <w:rFonts w:ascii="Minion Pro"/>
          <w:b/>
          <w:sz w:val="20"/>
        </w:rPr>
        <w:sectPr w:rsidR="00AE3E37" w:rsidRPr="00F16B8A">
          <w:type w:val="continuous"/>
          <w:pgSz w:w="11910" w:h="16840"/>
          <w:pgMar w:top="1740" w:right="600" w:bottom="840" w:left="620" w:header="720" w:footer="720" w:gutter="0"/>
          <w:cols w:space="720"/>
        </w:sectPr>
      </w:pPr>
      <w:r w:rsidRPr="00B21A57">
        <w:rPr>
          <w:rFonts w:ascii="Minion Pro"/>
          <w:b/>
          <w:sz w:val="20"/>
        </w:rPr>
        <w:t>Notes/Comments:</w:t>
      </w:r>
      <w:r w:rsidR="00F16B8A">
        <w:rPr>
          <w:rFonts w:ascii="Minion Pro"/>
          <w:b/>
          <w:sz w:val="20"/>
        </w:rPr>
        <w:t xml:space="preserve"> </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156" w:rsidRDefault="00123156">
      <w:r>
        <w:separator/>
      </w:r>
    </w:p>
  </w:endnote>
  <w:endnote w:type="continuationSeparator" w:id="0">
    <w:p w:rsidR="00123156" w:rsidRDefault="0012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6540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7360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156" w:rsidRDefault="00123156">
      <w:r>
        <w:separator/>
      </w:r>
    </w:p>
  </w:footnote>
  <w:footnote w:type="continuationSeparator" w:id="0">
    <w:p w:rsidR="00123156" w:rsidRDefault="001231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25164902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97C3E"/>
    <w:rsid w:val="000A6FA0"/>
    <w:rsid w:val="000E2911"/>
    <w:rsid w:val="00123156"/>
    <w:rsid w:val="001263DF"/>
    <w:rsid w:val="00190238"/>
    <w:rsid w:val="002220FB"/>
    <w:rsid w:val="00292ED9"/>
    <w:rsid w:val="00404E5B"/>
    <w:rsid w:val="00414F7B"/>
    <w:rsid w:val="004355DC"/>
    <w:rsid w:val="004749B4"/>
    <w:rsid w:val="00494130"/>
    <w:rsid w:val="004F3523"/>
    <w:rsid w:val="00544177"/>
    <w:rsid w:val="005973B9"/>
    <w:rsid w:val="005B3A56"/>
    <w:rsid w:val="006060CE"/>
    <w:rsid w:val="0063497F"/>
    <w:rsid w:val="006910C5"/>
    <w:rsid w:val="00827B1F"/>
    <w:rsid w:val="00873DF0"/>
    <w:rsid w:val="008756E6"/>
    <w:rsid w:val="009B2D44"/>
    <w:rsid w:val="00A07E82"/>
    <w:rsid w:val="00A9710C"/>
    <w:rsid w:val="00AE3E37"/>
    <w:rsid w:val="00AF220D"/>
    <w:rsid w:val="00B21A57"/>
    <w:rsid w:val="00C33602"/>
    <w:rsid w:val="00CC00DB"/>
    <w:rsid w:val="00CD6F55"/>
    <w:rsid w:val="00D97EFD"/>
    <w:rsid w:val="00DE3104"/>
    <w:rsid w:val="00E029EB"/>
    <w:rsid w:val="00ED14FB"/>
    <w:rsid w:val="00F16B8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5D888600-7E3E-41F2-887F-21163FC1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apple-converted-space">
    <w:name w:val="apple-converted-space"/>
    <w:basedOn w:val="a0"/>
    <w:rsid w:val="000A6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Vi_Dok@citydom.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536</Words>
  <Characters>3060</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RAS IGB</cp:lastModifiedBy>
  <cp:revision>3</cp:revision>
  <cp:lastPrinted>2016-11-24T12:11:00Z</cp:lastPrinted>
  <dcterms:created xsi:type="dcterms:W3CDTF">2016-11-24T11:14:00Z</dcterms:created>
  <dcterms:modified xsi:type="dcterms:W3CDTF">2016-11-24T12:11:00Z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