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72D" w:rsidRPr="005E36B4" w:rsidRDefault="0086472D" w:rsidP="005E36B4">
      <w:pPr>
        <w:bidi w:val="0"/>
        <w:jc w:val="center"/>
        <w:rPr>
          <w:rFonts w:asciiTheme="minorBidi" w:hAnsiTheme="minorBidi"/>
          <w:b/>
          <w:bCs/>
          <w:sz w:val="26"/>
          <w:szCs w:val="26"/>
          <w:shd w:val="clear" w:color="auto" w:fill="FFFFFF"/>
        </w:rPr>
      </w:pPr>
      <w:r w:rsidRPr="005E36B4">
        <w:rPr>
          <w:rFonts w:asciiTheme="minorBidi" w:hAnsiTheme="minorBidi"/>
          <w:b/>
          <w:bCs/>
          <w:sz w:val="26"/>
          <w:szCs w:val="26"/>
          <w:shd w:val="clear" w:color="auto" w:fill="FFFFFF"/>
        </w:rPr>
        <w:t>Role of Tenascin-C as a Predictor of Left Ventricular Remodeling after streptokinase in patients with acute Myocardial Infarction</w:t>
      </w:r>
    </w:p>
    <w:p w:rsidR="00DD4196" w:rsidRDefault="00DD4196" w:rsidP="00506E43">
      <w:pPr>
        <w:bidi w:val="0"/>
        <w:spacing w:after="0" w:line="360" w:lineRule="auto"/>
        <w:ind w:right="-341"/>
        <w:jc w:val="both"/>
      </w:pPr>
    </w:p>
    <w:p w:rsidR="009300C3" w:rsidRPr="00506E43" w:rsidRDefault="009300C3" w:rsidP="00DD4196">
      <w:pPr>
        <w:bidi w:val="0"/>
        <w:spacing w:after="0" w:line="360" w:lineRule="auto"/>
        <w:ind w:right="-341"/>
        <w:jc w:val="both"/>
      </w:pPr>
      <w:r w:rsidRPr="00506E43">
        <w:t>Tarek M.</w:t>
      </w:r>
      <w:r w:rsidR="008E6847" w:rsidRPr="00506E43">
        <w:t xml:space="preserve"> </w:t>
      </w:r>
      <w:r w:rsidRPr="00506E43">
        <w:t>A</w:t>
      </w:r>
      <w:r w:rsidR="008E6847" w:rsidRPr="00506E43">
        <w:t>bdel-Rhman; MD</w:t>
      </w:r>
      <w:r w:rsidR="00243BB4" w:rsidRPr="00506E43">
        <w:t>¹,</w:t>
      </w:r>
      <w:r w:rsidRPr="00506E43">
        <w:t xml:space="preserve"> Tamer T.</w:t>
      </w:r>
      <w:r w:rsidR="00243BB4" w:rsidRPr="00506E43">
        <w:t xml:space="preserve"> </w:t>
      </w:r>
      <w:r w:rsidRPr="00506E43">
        <w:t>I</w:t>
      </w:r>
      <w:r w:rsidR="008E6847" w:rsidRPr="00506E43">
        <w:t>smael; MD</w:t>
      </w:r>
      <w:r w:rsidR="00243BB4" w:rsidRPr="00506E43">
        <w:t>¹</w:t>
      </w:r>
      <w:r w:rsidR="008E6847" w:rsidRPr="00506E43">
        <w:t>,</w:t>
      </w:r>
      <w:r w:rsidRPr="00506E43">
        <w:t xml:space="preserve"> Hazem M.</w:t>
      </w:r>
      <w:r w:rsidR="008E6847" w:rsidRPr="00506E43">
        <w:t xml:space="preserve"> </w:t>
      </w:r>
      <w:r w:rsidRPr="00506E43">
        <w:t>A</w:t>
      </w:r>
      <w:r w:rsidR="00243BB4" w:rsidRPr="00506E43">
        <w:t>li; MD¹,</w:t>
      </w:r>
      <w:r w:rsidR="008E6847" w:rsidRPr="00506E43">
        <w:t xml:space="preserve"> </w:t>
      </w:r>
      <w:r w:rsidRPr="00506E43">
        <w:t xml:space="preserve">Hanna </w:t>
      </w:r>
      <w:r w:rsidR="00506E43" w:rsidRPr="00506E43">
        <w:t>A Saad</w:t>
      </w:r>
      <w:r w:rsidR="008E6847" w:rsidRPr="00506E43">
        <w:t>; MBbch</w:t>
      </w:r>
      <w:r w:rsidR="00506E43" w:rsidRPr="00506E43">
        <w:t>¹</w:t>
      </w:r>
    </w:p>
    <w:p w:rsidR="00243BB4" w:rsidRPr="00506E43" w:rsidRDefault="00243BB4" w:rsidP="00506E43">
      <w:pPr>
        <w:bidi w:val="0"/>
        <w:spacing w:after="0" w:line="360" w:lineRule="auto"/>
        <w:jc w:val="center"/>
      </w:pPr>
      <w:r w:rsidRPr="00506E43">
        <w:t>¹ Cardiovascular medicine Dept, Minia University- Egypt</w:t>
      </w:r>
    </w:p>
    <w:p w:rsidR="00DD4196" w:rsidRDefault="00DD4196" w:rsidP="001039B8">
      <w:pPr>
        <w:bidi w:val="0"/>
        <w:spacing w:line="360" w:lineRule="auto"/>
        <w:jc w:val="both"/>
        <w:rPr>
          <w:rFonts w:asciiTheme="minorBidi" w:hAnsiTheme="minorBidi"/>
          <w:b/>
          <w:bCs/>
          <w:u w:val="single"/>
          <w:shd w:val="clear" w:color="auto" w:fill="FFFFFF"/>
        </w:rPr>
      </w:pPr>
    </w:p>
    <w:p w:rsidR="0086472D" w:rsidRPr="005E36B4" w:rsidRDefault="0086472D" w:rsidP="00DD4196">
      <w:pPr>
        <w:bidi w:val="0"/>
        <w:spacing w:line="360" w:lineRule="auto"/>
        <w:jc w:val="both"/>
        <w:rPr>
          <w:rFonts w:asciiTheme="minorBidi" w:hAnsiTheme="minorBidi"/>
          <w:shd w:val="clear" w:color="auto" w:fill="FFFFFF"/>
        </w:rPr>
      </w:pPr>
      <w:r w:rsidRPr="005E36B4">
        <w:rPr>
          <w:rFonts w:asciiTheme="minorBidi" w:hAnsiTheme="minorBidi"/>
          <w:b/>
          <w:bCs/>
          <w:u w:val="single"/>
          <w:shd w:val="clear" w:color="auto" w:fill="FFFFFF"/>
        </w:rPr>
        <w:t>OBJECTIVES:</w:t>
      </w:r>
      <w:r w:rsidRPr="005E36B4">
        <w:rPr>
          <w:rFonts w:asciiTheme="minorBidi" w:hAnsiTheme="minorBidi"/>
          <w:shd w:val="clear" w:color="auto" w:fill="FFFFFF"/>
        </w:rPr>
        <w:t xml:space="preserve"> We investigated clinical implications of serum Tenascin-C (TN-C) levels in patients with acute myocardial infarction (AMI) treated with thrombolytic therapy</w:t>
      </w:r>
      <w:r w:rsidRPr="005E36B4">
        <w:rPr>
          <w:rStyle w:val="apple-converted-space"/>
          <w:rFonts w:asciiTheme="minorBidi" w:hAnsiTheme="minorBidi"/>
          <w:shd w:val="clear" w:color="auto" w:fill="FFFFFF"/>
        </w:rPr>
        <w:t> </w:t>
      </w:r>
      <w:r w:rsidRPr="005E36B4">
        <w:rPr>
          <w:rFonts w:asciiTheme="minorBidi" w:hAnsiTheme="minorBidi"/>
        </w:rPr>
        <w:br/>
      </w:r>
      <w:r w:rsidRPr="005E36B4">
        <w:rPr>
          <w:rFonts w:asciiTheme="minorBidi" w:hAnsiTheme="minorBidi"/>
          <w:b/>
          <w:bCs/>
          <w:u w:val="single"/>
          <w:shd w:val="clear" w:color="auto" w:fill="FFFFFF"/>
        </w:rPr>
        <w:t>BACKGROUND :</w:t>
      </w:r>
      <w:r w:rsidRPr="005E36B4">
        <w:rPr>
          <w:rFonts w:asciiTheme="minorBidi" w:hAnsiTheme="minorBidi"/>
          <w:shd w:val="clear" w:color="auto" w:fill="FFFFFF"/>
        </w:rPr>
        <w:t xml:space="preserve"> TN-C, an extracellular matrix glycoprotein, is not normally expressed in the adult heart, but transiently appears during pathological conditions and plays important roles in tissue remodeling.</w:t>
      </w:r>
    </w:p>
    <w:p w:rsidR="0086472D" w:rsidRPr="005E36B4" w:rsidRDefault="0086472D" w:rsidP="005E36B4">
      <w:pPr>
        <w:bidi w:val="0"/>
        <w:spacing w:after="0" w:line="360" w:lineRule="auto"/>
        <w:jc w:val="both"/>
        <w:rPr>
          <w:rFonts w:asciiTheme="minorBidi" w:hAnsiTheme="minorBidi"/>
          <w:shd w:val="clear" w:color="auto" w:fill="FFFFFF"/>
        </w:rPr>
      </w:pPr>
      <w:r w:rsidRPr="005E36B4">
        <w:rPr>
          <w:rFonts w:asciiTheme="minorBidi" w:hAnsiTheme="minorBidi"/>
          <w:b/>
          <w:bCs/>
          <w:u w:val="single"/>
          <w:shd w:val="clear" w:color="auto" w:fill="FFFFFF"/>
        </w:rPr>
        <w:t>METHODS:</w:t>
      </w:r>
      <w:r w:rsidRPr="005E36B4">
        <w:rPr>
          <w:rFonts w:asciiTheme="minorBidi" w:hAnsiTheme="minorBidi"/>
          <w:shd w:val="clear" w:color="auto" w:fill="FFFFFF"/>
        </w:rPr>
        <w:t xml:space="preserve"> Serum TN-C levels were measured by ELISA in 60 cases presented with acute STEMI and 20 apparently healthy controls.</w:t>
      </w:r>
    </w:p>
    <w:p w:rsidR="00BE77ED" w:rsidRPr="005E36B4" w:rsidRDefault="0086472D" w:rsidP="005E36B4">
      <w:pPr>
        <w:bidi w:val="0"/>
        <w:spacing w:after="0" w:line="360" w:lineRule="auto"/>
        <w:jc w:val="both"/>
        <w:rPr>
          <w:rFonts w:asciiTheme="minorBidi" w:hAnsiTheme="minorBidi"/>
          <w:shd w:val="clear" w:color="auto" w:fill="FFFFFF"/>
        </w:rPr>
      </w:pPr>
      <w:r w:rsidRPr="005E36B4">
        <w:rPr>
          <w:rFonts w:asciiTheme="minorBidi" w:hAnsiTheme="minorBidi"/>
          <w:b/>
          <w:bCs/>
          <w:u w:val="single"/>
          <w:shd w:val="clear" w:color="auto" w:fill="FFFFFF"/>
        </w:rPr>
        <w:t>RESULTS:</w:t>
      </w:r>
      <w:r w:rsidRPr="005E36B4">
        <w:rPr>
          <w:rFonts w:asciiTheme="minorBidi" w:hAnsiTheme="minorBidi"/>
          <w:shd w:val="clear" w:color="auto" w:fill="FFFFFF"/>
        </w:rPr>
        <w:t xml:space="preserve"> The mean serum TN-C level of AMI patients on admission was significantly higher than that of controls (57.5±19.9 ng/ml vs. 34.1±3.2 ng/ml; p&gt; 0.0001), Follow-up examination (mean: 6 months) revealed that 17 of 60 AMI (28%) patients showed left ventricular (LV) remodeling (≥20% end-diastolic volume increase), and in 6 (10%), major adverse cardiac events (MACE) were detected. </w:t>
      </w:r>
      <w:r w:rsidR="00BE77ED" w:rsidRPr="005E36B4">
        <w:rPr>
          <w:rFonts w:asciiTheme="minorBidi" w:hAnsiTheme="minorBidi"/>
          <w:shd w:val="clear" w:color="auto" w:fill="FFFFFF"/>
        </w:rPr>
        <w:t xml:space="preserve">TN-C levels were significantly higher in remodeling versus non-remodeling group (80.3±19.9 vs 47.6±9.5 ng/ml p=0.002). </w:t>
      </w:r>
      <w:r w:rsidRPr="005E36B4">
        <w:rPr>
          <w:rFonts w:asciiTheme="minorBidi" w:hAnsiTheme="minorBidi"/>
          <w:shd w:val="clear" w:color="auto" w:fill="FFFFFF"/>
        </w:rPr>
        <w:t>By receiver-operating characteristic (ROC) analysis, clearly discriminated prediction of LV remodeling compared wit</w:t>
      </w:r>
      <w:r w:rsidR="00BE77ED" w:rsidRPr="005E36B4">
        <w:rPr>
          <w:rFonts w:asciiTheme="minorBidi" w:hAnsiTheme="minorBidi"/>
          <w:shd w:val="clear" w:color="auto" w:fill="FFFFFF"/>
        </w:rPr>
        <w:t xml:space="preserve">h other variables. </w:t>
      </w:r>
      <w:r w:rsidRPr="005E36B4">
        <w:rPr>
          <w:rFonts w:asciiTheme="minorBidi" w:hAnsiTheme="minorBidi"/>
          <w:shd w:val="clear" w:color="auto" w:fill="FFFFFF"/>
        </w:rPr>
        <w:t xml:space="preserve">Best predictive values of TN-C for remodeling were </w:t>
      </w:r>
      <w:r w:rsidR="00BE77ED" w:rsidRPr="005E36B4">
        <w:rPr>
          <w:rFonts w:asciiTheme="minorBidi" w:hAnsiTheme="minorBidi"/>
          <w:shd w:val="clear" w:color="auto" w:fill="FFFFFF"/>
        </w:rPr>
        <w:t>68.9 ng/ml (81% sensitivity and 95% specificity, AUC=0.872)</w:t>
      </w:r>
      <w:r w:rsidRPr="005E36B4">
        <w:rPr>
          <w:rFonts w:asciiTheme="minorBidi" w:hAnsiTheme="minorBidi"/>
          <w:shd w:val="clear" w:color="auto" w:fill="FFFFFF"/>
        </w:rPr>
        <w:t xml:space="preserve">. </w:t>
      </w:r>
      <w:r w:rsidR="00BE77ED" w:rsidRPr="005E36B4">
        <w:rPr>
          <w:rFonts w:asciiTheme="minorBidi" w:hAnsiTheme="minorBidi"/>
          <w:shd w:val="clear" w:color="auto" w:fill="FFFFFF"/>
        </w:rPr>
        <w:t>High serum TN-C level</w:t>
      </w:r>
      <w:r w:rsidR="00BE77ED" w:rsidRPr="005E36B4">
        <w:rPr>
          <w:rFonts w:asciiTheme="minorBidi" w:hAnsiTheme="minorBidi"/>
        </w:rPr>
        <w:t xml:space="preserve"> and DM were correlated with higher incidence of MACE.</w:t>
      </w:r>
    </w:p>
    <w:p w:rsidR="0086472D" w:rsidRPr="005E36B4" w:rsidRDefault="0086472D" w:rsidP="005E36B4">
      <w:pPr>
        <w:bidi w:val="0"/>
        <w:spacing w:line="360" w:lineRule="auto"/>
        <w:jc w:val="both"/>
        <w:rPr>
          <w:rFonts w:asciiTheme="minorBidi" w:hAnsiTheme="minorBidi"/>
          <w:shd w:val="clear" w:color="auto" w:fill="FFFFFF"/>
        </w:rPr>
      </w:pPr>
      <w:r w:rsidRPr="005E36B4">
        <w:rPr>
          <w:rFonts w:asciiTheme="minorBidi" w:hAnsiTheme="minorBidi"/>
          <w:b/>
          <w:bCs/>
          <w:u w:val="single"/>
          <w:shd w:val="clear" w:color="auto" w:fill="FFFFFF"/>
        </w:rPr>
        <w:t>CONCLUSIONS</w:t>
      </w:r>
      <w:r w:rsidRPr="005E36B4">
        <w:rPr>
          <w:rFonts w:asciiTheme="minorBidi" w:hAnsiTheme="minorBidi"/>
          <w:shd w:val="clear" w:color="auto" w:fill="FFFFFF"/>
        </w:rPr>
        <w:t>; The findings suggest that serum TN-C levels might be useful in predicting LV remodeling</w:t>
      </w:r>
      <w:r w:rsidR="00811D38" w:rsidRPr="005E36B4">
        <w:rPr>
          <w:rFonts w:asciiTheme="minorBidi" w:hAnsiTheme="minorBidi"/>
          <w:shd w:val="clear" w:color="auto" w:fill="FFFFFF"/>
        </w:rPr>
        <w:t xml:space="preserve"> </w:t>
      </w:r>
      <w:r w:rsidRPr="005E36B4">
        <w:rPr>
          <w:rFonts w:asciiTheme="minorBidi" w:hAnsiTheme="minorBidi"/>
          <w:shd w:val="clear" w:color="auto" w:fill="FFFFFF"/>
        </w:rPr>
        <w:t>and prognosis after AMI.</w:t>
      </w:r>
    </w:p>
    <w:p w:rsidR="00DD4196" w:rsidRDefault="0086472D" w:rsidP="00DD4196">
      <w:pPr>
        <w:bidi w:val="0"/>
        <w:spacing w:after="0" w:line="360" w:lineRule="auto"/>
        <w:jc w:val="both"/>
        <w:rPr>
          <w:rFonts w:asciiTheme="minorBidi" w:hAnsiTheme="minorBidi"/>
        </w:rPr>
      </w:pPr>
      <w:bookmarkStart w:id="0" w:name="_GoBack"/>
      <w:bookmarkEnd w:id="0"/>
      <w:r w:rsidRPr="005E36B4">
        <w:rPr>
          <w:rFonts w:asciiTheme="minorBidi" w:hAnsiTheme="minorBidi"/>
          <w:b/>
          <w:bCs/>
          <w:u w:val="single"/>
          <w:shd w:val="clear" w:color="auto" w:fill="FFFFFF"/>
        </w:rPr>
        <w:t>Keywords:</w:t>
      </w:r>
      <w:r w:rsidRPr="005E36B4">
        <w:rPr>
          <w:rFonts w:asciiTheme="minorBidi" w:hAnsiTheme="minorBidi"/>
        </w:rPr>
        <w:t> </w:t>
      </w:r>
      <w:r w:rsidR="00DD4196">
        <w:rPr>
          <w:rFonts w:asciiTheme="minorBidi" w:hAnsiTheme="minorBidi"/>
        </w:rPr>
        <w:t xml:space="preserve"> </w:t>
      </w:r>
    </w:p>
    <w:p w:rsidR="0086472D" w:rsidRPr="005E36B4" w:rsidRDefault="0086472D" w:rsidP="00DD4196">
      <w:pPr>
        <w:bidi w:val="0"/>
        <w:spacing w:after="0" w:line="360" w:lineRule="auto"/>
        <w:jc w:val="both"/>
        <w:rPr>
          <w:rFonts w:asciiTheme="minorBidi" w:hAnsiTheme="minorBidi"/>
        </w:rPr>
      </w:pPr>
      <w:r w:rsidRPr="005E36B4">
        <w:rPr>
          <w:rFonts w:asciiTheme="minorBidi" w:hAnsiTheme="minorBidi"/>
        </w:rPr>
        <w:t xml:space="preserve">Tenascin-C, left ventricular remodeling, </w:t>
      </w:r>
      <w:r w:rsidR="0065606B">
        <w:rPr>
          <w:rFonts w:asciiTheme="minorBidi" w:hAnsiTheme="minorBidi"/>
        </w:rPr>
        <w:t>myocardial infarction</w:t>
      </w:r>
      <w:r w:rsidR="00811D38" w:rsidRPr="005E36B4">
        <w:rPr>
          <w:rFonts w:asciiTheme="minorBidi" w:hAnsiTheme="minorBidi"/>
        </w:rPr>
        <w:t>, streptokinase</w:t>
      </w:r>
    </w:p>
    <w:p w:rsidR="00DD4196" w:rsidRDefault="00DD4196" w:rsidP="001039B8">
      <w:pPr>
        <w:bidi w:val="0"/>
        <w:spacing w:line="360" w:lineRule="auto"/>
        <w:jc w:val="both"/>
        <w:rPr>
          <w:rFonts w:asciiTheme="minorBidi" w:hAnsiTheme="minorBidi"/>
          <w:b/>
          <w:bCs/>
          <w:u w:val="single"/>
          <w:shd w:val="clear" w:color="auto" w:fill="FFFFFF"/>
        </w:rPr>
      </w:pPr>
    </w:p>
    <w:p w:rsidR="00DD4196" w:rsidRDefault="00DD4196" w:rsidP="00DD4196">
      <w:pPr>
        <w:bidi w:val="0"/>
        <w:spacing w:line="360" w:lineRule="auto"/>
        <w:jc w:val="both"/>
        <w:rPr>
          <w:rFonts w:asciiTheme="minorBidi" w:hAnsiTheme="minorBidi"/>
          <w:b/>
          <w:bCs/>
          <w:u w:val="single"/>
          <w:shd w:val="clear" w:color="auto" w:fill="FFFFFF"/>
        </w:rPr>
      </w:pPr>
    </w:p>
    <w:sectPr w:rsidR="00DD4196" w:rsidSect="00C8780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0428" w:rsidRDefault="00360428" w:rsidP="00DD4196">
      <w:pPr>
        <w:spacing w:after="0" w:line="240" w:lineRule="auto"/>
      </w:pPr>
      <w:r>
        <w:separator/>
      </w:r>
    </w:p>
  </w:endnote>
  <w:endnote w:type="continuationSeparator" w:id="0">
    <w:p w:rsidR="00360428" w:rsidRDefault="00360428" w:rsidP="00DD4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0428" w:rsidRDefault="00360428" w:rsidP="00DD4196">
      <w:pPr>
        <w:spacing w:after="0" w:line="240" w:lineRule="auto"/>
      </w:pPr>
      <w:r>
        <w:separator/>
      </w:r>
    </w:p>
  </w:footnote>
  <w:footnote w:type="continuationSeparator" w:id="0">
    <w:p w:rsidR="00360428" w:rsidRDefault="00360428" w:rsidP="00DD41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B6713C"/>
    <w:multiLevelType w:val="hybridMultilevel"/>
    <w:tmpl w:val="0EA646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9195060"/>
    <w:multiLevelType w:val="hybridMultilevel"/>
    <w:tmpl w:val="D4BCE9B4"/>
    <w:lvl w:ilvl="0" w:tplc="3CF84C5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1EBED956">
      <w:start w:val="56"/>
      <w:numFmt w:val="decimal"/>
      <w:lvlText w:val="%2"/>
      <w:lvlJc w:val="left"/>
      <w:pPr>
        <w:tabs>
          <w:tab w:val="num" w:pos="1350"/>
        </w:tabs>
        <w:ind w:left="1350" w:hanging="930"/>
      </w:pPr>
      <w:rPr>
        <w:rFonts w:hint="default"/>
        <w:i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72D"/>
    <w:rsid w:val="00037569"/>
    <w:rsid w:val="0007266E"/>
    <w:rsid w:val="00095E08"/>
    <w:rsid w:val="000C27D8"/>
    <w:rsid w:val="001039B8"/>
    <w:rsid w:val="00171A63"/>
    <w:rsid w:val="00193FB7"/>
    <w:rsid w:val="002217F4"/>
    <w:rsid w:val="00224464"/>
    <w:rsid w:val="00243BB4"/>
    <w:rsid w:val="00276A2B"/>
    <w:rsid w:val="002826F1"/>
    <w:rsid w:val="002C1AB7"/>
    <w:rsid w:val="002F622D"/>
    <w:rsid w:val="00301D77"/>
    <w:rsid w:val="00360428"/>
    <w:rsid w:val="00361C6C"/>
    <w:rsid w:val="003758EB"/>
    <w:rsid w:val="003A1DA1"/>
    <w:rsid w:val="004048C8"/>
    <w:rsid w:val="00427AE0"/>
    <w:rsid w:val="004467F7"/>
    <w:rsid w:val="004800B2"/>
    <w:rsid w:val="004B509B"/>
    <w:rsid w:val="004C7C58"/>
    <w:rsid w:val="00506E43"/>
    <w:rsid w:val="0053563F"/>
    <w:rsid w:val="00544932"/>
    <w:rsid w:val="0055090D"/>
    <w:rsid w:val="005975C8"/>
    <w:rsid w:val="005B69F9"/>
    <w:rsid w:val="005E36B4"/>
    <w:rsid w:val="0065606B"/>
    <w:rsid w:val="00673D36"/>
    <w:rsid w:val="006B1216"/>
    <w:rsid w:val="006C1B34"/>
    <w:rsid w:val="006C5EAF"/>
    <w:rsid w:val="0073709A"/>
    <w:rsid w:val="00747E75"/>
    <w:rsid w:val="007759C1"/>
    <w:rsid w:val="00794AF9"/>
    <w:rsid w:val="007C66FB"/>
    <w:rsid w:val="00811D38"/>
    <w:rsid w:val="00830258"/>
    <w:rsid w:val="008346DD"/>
    <w:rsid w:val="0086472D"/>
    <w:rsid w:val="00883BA8"/>
    <w:rsid w:val="00897542"/>
    <w:rsid w:val="008C0ADB"/>
    <w:rsid w:val="008D222F"/>
    <w:rsid w:val="008E6847"/>
    <w:rsid w:val="009300C3"/>
    <w:rsid w:val="00945083"/>
    <w:rsid w:val="0097049D"/>
    <w:rsid w:val="009A4CD6"/>
    <w:rsid w:val="009C785F"/>
    <w:rsid w:val="009D4365"/>
    <w:rsid w:val="009F7F8B"/>
    <w:rsid w:val="00A1293E"/>
    <w:rsid w:val="00A4307E"/>
    <w:rsid w:val="00A45216"/>
    <w:rsid w:val="00A64CC0"/>
    <w:rsid w:val="00A72521"/>
    <w:rsid w:val="00A86781"/>
    <w:rsid w:val="00AB4424"/>
    <w:rsid w:val="00AC1550"/>
    <w:rsid w:val="00AD2E84"/>
    <w:rsid w:val="00B23ABE"/>
    <w:rsid w:val="00B526A2"/>
    <w:rsid w:val="00BA252A"/>
    <w:rsid w:val="00BC190D"/>
    <w:rsid w:val="00BE77ED"/>
    <w:rsid w:val="00C577F3"/>
    <w:rsid w:val="00C65F0A"/>
    <w:rsid w:val="00C7730A"/>
    <w:rsid w:val="00C87802"/>
    <w:rsid w:val="00CA0BC0"/>
    <w:rsid w:val="00CE1E4D"/>
    <w:rsid w:val="00D17AAE"/>
    <w:rsid w:val="00D4751C"/>
    <w:rsid w:val="00DD4196"/>
    <w:rsid w:val="00DE7519"/>
    <w:rsid w:val="00E408D2"/>
    <w:rsid w:val="00E66FEA"/>
    <w:rsid w:val="00E91935"/>
    <w:rsid w:val="00E95BCD"/>
    <w:rsid w:val="00F0160B"/>
    <w:rsid w:val="00F10BAF"/>
    <w:rsid w:val="00F33B49"/>
    <w:rsid w:val="00F44130"/>
    <w:rsid w:val="00F87030"/>
    <w:rsid w:val="00FB3937"/>
    <w:rsid w:val="00FC2F30"/>
    <w:rsid w:val="00FC4807"/>
    <w:rsid w:val="00FD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C24930-AE4E-4EFE-A3FA-D8779458E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80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86472D"/>
  </w:style>
  <w:style w:type="paragraph" w:styleId="NormalWeb">
    <w:name w:val="Normal (Web)"/>
    <w:basedOn w:val="Normal"/>
    <w:uiPriority w:val="99"/>
    <w:unhideWhenUsed/>
    <w:rsid w:val="00BE77E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B393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3BA8"/>
    <w:pPr>
      <w:bidi w:val="0"/>
      <w:ind w:left="720"/>
      <w:contextualSpacing/>
    </w:pPr>
    <w:rPr>
      <w:rFonts w:eastAsiaTheme="minorHAnsi"/>
    </w:rPr>
  </w:style>
  <w:style w:type="paragraph" w:styleId="Header">
    <w:name w:val="header"/>
    <w:basedOn w:val="Normal"/>
    <w:link w:val="HeaderChar"/>
    <w:uiPriority w:val="99"/>
    <w:semiHidden/>
    <w:unhideWhenUsed/>
    <w:rsid w:val="00DD41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4196"/>
  </w:style>
  <w:style w:type="paragraph" w:styleId="Footer">
    <w:name w:val="footer"/>
    <w:basedOn w:val="Normal"/>
    <w:link w:val="FooterChar"/>
    <w:uiPriority w:val="99"/>
    <w:semiHidden/>
    <w:unhideWhenUsed/>
    <w:rsid w:val="00DD41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D4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2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44E35-2C0C-4448-A1D0-AD841CDFC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CHANGE_ME1</dc:creator>
  <cp:keywords/>
  <dc:description/>
  <cp:lastModifiedBy>Tamer Taha Ismail Taha</cp:lastModifiedBy>
  <cp:revision>2</cp:revision>
  <dcterms:created xsi:type="dcterms:W3CDTF">2016-10-10T18:09:00Z</dcterms:created>
  <dcterms:modified xsi:type="dcterms:W3CDTF">2016-10-10T18:09:00Z</dcterms:modified>
</cp:coreProperties>
</file>