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86" w:rsidRPr="00833D1F" w:rsidRDefault="00602F86" w:rsidP="00602F8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33D1F">
        <w:rPr>
          <w:rFonts w:ascii="Arial" w:hAnsi="Arial" w:cs="Arial"/>
          <w:b/>
          <w:sz w:val="24"/>
          <w:szCs w:val="24"/>
        </w:rPr>
        <w:t>Cardiovascular disease in metabolic syndrome associated with metabolic induction of a hypoxic response</w:t>
      </w:r>
    </w:p>
    <w:p w:rsidR="005973B9" w:rsidRPr="00602F86" w:rsidRDefault="00602F86" w:rsidP="005973B9">
      <w:pPr>
        <w:pStyle w:val="BodyText"/>
        <w:spacing w:before="73" w:line="198" w:lineRule="exact"/>
        <w:ind w:left="100" w:right="5987"/>
        <w:rPr>
          <w:rFonts w:ascii="Arial" w:hAnsi="Arial" w:cs="Arial"/>
          <w:sz w:val="20"/>
          <w:szCs w:val="20"/>
        </w:rPr>
      </w:pPr>
      <w:r w:rsidRPr="00602F86">
        <w:rPr>
          <w:rFonts w:ascii="Arial" w:hAnsi="Arial" w:cs="Arial"/>
          <w:sz w:val="20"/>
          <w:szCs w:val="20"/>
        </w:rPr>
        <w:t xml:space="preserve">Evanka Chopra, Vijay Pal Singh, Anurag Agrawal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833D1F" w:rsidRDefault="00A9710C" w:rsidP="00602F86">
      <w:pPr>
        <w:pStyle w:val="Heading3"/>
        <w:spacing w:before="147"/>
        <w:ind w:left="0"/>
        <w:jc w:val="both"/>
        <w:rPr>
          <w:sz w:val="18"/>
          <w:szCs w:val="18"/>
        </w:rPr>
      </w:pPr>
      <w:r w:rsidRPr="00833D1F">
        <w:rPr>
          <w:color w:val="BF5A14"/>
          <w:sz w:val="18"/>
          <w:szCs w:val="18"/>
        </w:rPr>
        <w:lastRenderedPageBreak/>
        <w:t>Abstract</w:t>
      </w:r>
      <w:r w:rsidR="00404E5B" w:rsidRPr="00833D1F">
        <w:rPr>
          <w:color w:val="BF5A14"/>
          <w:sz w:val="18"/>
          <w:szCs w:val="18"/>
        </w:rPr>
        <w:t xml:space="preserve"> </w:t>
      </w:r>
    </w:p>
    <w:p w:rsidR="00602F86" w:rsidRPr="00833D1F" w:rsidRDefault="00A9710C" w:rsidP="00833D1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33D1F">
        <w:rPr>
          <w:rFonts w:ascii="Arial" w:hAnsi="Arial" w:cs="Arial"/>
          <w:b/>
          <w:sz w:val="18"/>
          <w:szCs w:val="18"/>
        </w:rPr>
        <w:t>Statement of the Problem:</w:t>
      </w:r>
      <w:r w:rsidRPr="00833D1F">
        <w:rPr>
          <w:rFonts w:ascii="Arial" w:hAnsi="Arial" w:cs="Arial"/>
          <w:sz w:val="18"/>
          <w:szCs w:val="18"/>
        </w:rPr>
        <w:t xml:space="preserve"> </w:t>
      </w:r>
      <w:r w:rsidR="00602F86" w:rsidRPr="00833D1F">
        <w:rPr>
          <w:rFonts w:ascii="Arial" w:hAnsi="Arial" w:cs="Arial"/>
          <w:sz w:val="18"/>
          <w:szCs w:val="18"/>
        </w:rPr>
        <w:t>The risk of cardiovascular disease (CVD), asthma, non-alcoholic fatty liver disease (NAFLD) as well as common cancers is increased in subjects with metabolic syndrome (MetS). Interleukin-4 (IL-4), a marker of Th2 immune response, is often upregulated in these contexts and may potentiate aberrant arginine metabolism</w:t>
      </w:r>
      <w:r w:rsidR="00602F86" w:rsidRPr="00833D1F">
        <w:rPr>
          <w:rFonts w:ascii="Arial" w:hAnsi="Arial" w:cs="Arial"/>
          <w:bCs/>
          <w:sz w:val="18"/>
          <w:szCs w:val="18"/>
        </w:rPr>
        <w:t xml:space="preserve">. </w:t>
      </w:r>
      <w:r w:rsidR="00602F86" w:rsidRPr="00833D1F">
        <w:rPr>
          <w:rFonts w:ascii="Arial" w:hAnsi="Arial" w:cs="Arial"/>
          <w:sz w:val="18"/>
          <w:szCs w:val="18"/>
        </w:rPr>
        <w:t xml:space="preserve">Altered arginine/nitric oxide metabolism and mitochondrial dysfunction represent putative common molecular pathways that may connect these diseases, possibly via oxidative-stress driven induction of the cellular hypoxic response. </w:t>
      </w:r>
      <w:r w:rsidR="00602F86" w:rsidRPr="00833D1F">
        <w:rPr>
          <w:rFonts w:ascii="Arial" w:hAnsi="Arial" w:cs="Arial"/>
          <w:bCs/>
          <w:sz w:val="18"/>
          <w:szCs w:val="18"/>
        </w:rPr>
        <w:t>The importance of this pathway is not well studied in MetS associated vascular dysfunction.</w:t>
      </w:r>
    </w:p>
    <w:p w:rsidR="00602F86" w:rsidRPr="00833D1F" w:rsidRDefault="00A9710C" w:rsidP="00833D1F">
      <w:pPr>
        <w:pStyle w:val="Default"/>
        <w:spacing w:after="167" w:line="360" w:lineRule="auto"/>
        <w:jc w:val="both"/>
        <w:rPr>
          <w:rFonts w:ascii="Arial" w:hAnsi="Arial" w:cs="Arial"/>
          <w:sz w:val="18"/>
          <w:szCs w:val="18"/>
        </w:rPr>
      </w:pPr>
      <w:r w:rsidRPr="00833D1F">
        <w:rPr>
          <w:rFonts w:ascii="Arial" w:hAnsi="Arial" w:cs="Arial"/>
          <w:sz w:val="18"/>
          <w:szCs w:val="18"/>
        </w:rPr>
        <w:t>The purpose of this study is to</w:t>
      </w:r>
      <w:r w:rsidR="00602F86" w:rsidRPr="00833D1F">
        <w:rPr>
          <w:rFonts w:ascii="Arial" w:hAnsi="Arial" w:cs="Arial"/>
          <w:sz w:val="18"/>
          <w:szCs w:val="18"/>
        </w:rPr>
        <w:t xml:space="preserve"> investigate how altered arginine/methyl arginine balance, oxo-nitrative stress, hypoxic response, and mitochondrial dysfunction may cause vascular dysfunction in metabolic syndrome.</w:t>
      </w:r>
    </w:p>
    <w:p w:rsidR="00602F86" w:rsidRPr="00833D1F" w:rsidRDefault="00A9710C" w:rsidP="00833D1F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33D1F">
        <w:rPr>
          <w:rFonts w:ascii="Arial" w:hAnsi="Arial" w:cs="Arial"/>
          <w:b/>
          <w:sz w:val="18"/>
          <w:szCs w:val="18"/>
        </w:rPr>
        <w:t>Methodolog</w:t>
      </w:r>
      <w:r w:rsidR="008756E6" w:rsidRPr="00833D1F">
        <w:rPr>
          <w:rFonts w:ascii="Arial" w:hAnsi="Arial" w:cs="Arial"/>
          <w:b/>
          <w:sz w:val="18"/>
          <w:szCs w:val="18"/>
        </w:rPr>
        <w:t>y &amp; Theoretical Orientation:</w:t>
      </w:r>
      <w:r w:rsidR="008756E6" w:rsidRPr="00833D1F">
        <w:rPr>
          <w:rFonts w:ascii="Arial" w:hAnsi="Arial" w:cs="Arial"/>
          <w:sz w:val="18"/>
          <w:szCs w:val="18"/>
        </w:rPr>
        <w:t xml:space="preserve"> </w:t>
      </w:r>
      <w:r w:rsidR="00602F86" w:rsidRPr="00833D1F">
        <w:rPr>
          <w:rFonts w:ascii="Arial" w:hAnsi="Arial" w:cs="Arial"/>
          <w:sz w:val="18"/>
          <w:szCs w:val="18"/>
        </w:rPr>
        <w:t xml:space="preserve">MetS </w:t>
      </w:r>
      <w:r w:rsidR="00602F86" w:rsidRPr="00833D1F">
        <w:rPr>
          <w:rFonts w:ascii="Arial" w:hAnsi="Arial" w:cs="Arial"/>
          <w:sz w:val="18"/>
          <w:szCs w:val="18"/>
          <w:shd w:val="clear" w:color="auto" w:fill="FFFFFF"/>
        </w:rPr>
        <w:t xml:space="preserve">mice </w:t>
      </w:r>
      <w:r w:rsidR="00602F86" w:rsidRPr="00833D1F">
        <w:rPr>
          <w:rFonts w:ascii="Arial" w:hAnsi="Arial" w:cs="Arial"/>
          <w:sz w:val="18"/>
          <w:szCs w:val="18"/>
        </w:rPr>
        <w:t>(C57BL/6)</w:t>
      </w:r>
      <w:r w:rsidR="00602F86" w:rsidRPr="00833D1F">
        <w:rPr>
          <w:rFonts w:ascii="Arial" w:hAnsi="Arial" w:cs="Arial"/>
          <w:sz w:val="18"/>
          <w:szCs w:val="18"/>
          <w:shd w:val="clear" w:color="auto" w:fill="FFFFFF"/>
        </w:rPr>
        <w:t xml:space="preserve"> were fed chow-diet (CN), high-fat-diet (HFA), or high-fructose-diet (H</w:t>
      </w:r>
      <w:r w:rsidR="00A34ED7" w:rsidRPr="00833D1F">
        <w:rPr>
          <w:rFonts w:ascii="Arial" w:hAnsi="Arial" w:cs="Arial"/>
          <w:sz w:val="18"/>
          <w:szCs w:val="18"/>
          <w:shd w:val="clear" w:color="auto" w:fill="FFFFFF"/>
        </w:rPr>
        <w:t>F</w:t>
      </w:r>
      <w:r w:rsidR="00602F86" w:rsidRPr="00833D1F">
        <w:rPr>
          <w:rFonts w:ascii="Arial" w:hAnsi="Arial" w:cs="Arial"/>
          <w:sz w:val="18"/>
          <w:szCs w:val="18"/>
          <w:shd w:val="clear" w:color="auto" w:fill="FFFFFF"/>
        </w:rPr>
        <w:t xml:space="preserve">R) for 6 months. HFR and HFA diets induce MetS. </w:t>
      </w:r>
      <w:r w:rsidR="00602F86" w:rsidRPr="00833D1F">
        <w:rPr>
          <w:rFonts w:ascii="Arial" w:hAnsi="Arial" w:cs="Arial"/>
          <w:sz w:val="18"/>
          <w:szCs w:val="18"/>
        </w:rPr>
        <w:t>Arginine/methyl arginine balance and oxo-nitrative stress were determined in aortic tissue by measuring the levels of ADMA, iNOS and 3-nitrotyrosine. Estimation of hypoxic response done by checking levels of HIF1α and resultant mitochondrial dysfunction by measuring levels of cytochrome c, TFAM, mitochondrial membrane potential and Mitochondrial Complex I and IV activity.</w:t>
      </w:r>
    </w:p>
    <w:p w:rsidR="00602F86" w:rsidRPr="00833D1F" w:rsidRDefault="00A9710C" w:rsidP="00833D1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A"/>
          <w:sz w:val="18"/>
          <w:szCs w:val="18"/>
        </w:rPr>
      </w:pPr>
      <w:r w:rsidRPr="00833D1F">
        <w:rPr>
          <w:rFonts w:ascii="Arial" w:hAnsi="Arial" w:cs="Arial"/>
          <w:b/>
          <w:sz w:val="18"/>
          <w:szCs w:val="18"/>
        </w:rPr>
        <w:t>Conclusion &amp; Significance:</w:t>
      </w:r>
      <w:r w:rsidRPr="00833D1F">
        <w:rPr>
          <w:rFonts w:ascii="Arial" w:hAnsi="Arial" w:cs="Arial"/>
          <w:sz w:val="18"/>
          <w:szCs w:val="18"/>
        </w:rPr>
        <w:t xml:space="preserve"> </w:t>
      </w:r>
      <w:r w:rsidR="00602F86" w:rsidRPr="00833D1F">
        <w:rPr>
          <w:rFonts w:ascii="Arial" w:hAnsi="Arial" w:cs="Arial"/>
          <w:color w:val="00000A"/>
          <w:sz w:val="18"/>
          <w:szCs w:val="18"/>
        </w:rPr>
        <w:t>IL-4 and ADMA were increased in HFA and HFR mice with MetS, compared to normal controls (CN). Vascular endothelial cells of both these groups also showed an increase in oxo-nitrative stress. IL-4 and ADMA led to potent induction of the cellular hypoxic response (HIF1α), despite normoxic conditions. The hypoxic response was associated with increased levels of the hypoxamir-210 that targets mitochondria, reduced mitochondrial membrane potential</w:t>
      </w:r>
      <w:r w:rsidR="00A34ED7" w:rsidRPr="00833D1F">
        <w:rPr>
          <w:rFonts w:ascii="Arial" w:hAnsi="Arial" w:cs="Arial"/>
          <w:color w:val="00000A"/>
          <w:sz w:val="18"/>
          <w:szCs w:val="18"/>
        </w:rPr>
        <w:t xml:space="preserve">, Complex I and Complex IV activities, </w:t>
      </w:r>
      <w:r w:rsidR="00602F86" w:rsidRPr="00833D1F">
        <w:rPr>
          <w:rFonts w:ascii="Arial" w:hAnsi="Arial" w:cs="Arial"/>
          <w:color w:val="00000A"/>
          <w:sz w:val="18"/>
          <w:szCs w:val="18"/>
        </w:rPr>
        <w:t xml:space="preserve">decreased TFAM </w:t>
      </w:r>
      <w:r w:rsidR="00A34ED7" w:rsidRPr="00833D1F">
        <w:rPr>
          <w:rFonts w:ascii="Arial" w:hAnsi="Arial" w:cs="Arial"/>
          <w:color w:val="00000A"/>
          <w:sz w:val="18"/>
          <w:szCs w:val="18"/>
        </w:rPr>
        <w:t xml:space="preserve">and PGC1α </w:t>
      </w:r>
      <w:r w:rsidR="00602F86" w:rsidRPr="00833D1F">
        <w:rPr>
          <w:rFonts w:ascii="Arial" w:hAnsi="Arial" w:cs="Arial"/>
          <w:color w:val="00000A"/>
          <w:sz w:val="18"/>
          <w:szCs w:val="18"/>
        </w:rPr>
        <w:t>levels,</w:t>
      </w:r>
      <w:r w:rsidR="00A34ED7" w:rsidRPr="00833D1F">
        <w:rPr>
          <w:rFonts w:ascii="Arial" w:hAnsi="Arial" w:cs="Arial"/>
          <w:color w:val="00000A"/>
          <w:sz w:val="18"/>
          <w:szCs w:val="18"/>
        </w:rPr>
        <w:t xml:space="preserve"> </w:t>
      </w:r>
      <w:r w:rsidR="00602F86" w:rsidRPr="00833D1F">
        <w:rPr>
          <w:rFonts w:ascii="Arial" w:hAnsi="Arial" w:cs="Arial"/>
          <w:color w:val="00000A"/>
          <w:sz w:val="18"/>
          <w:szCs w:val="18"/>
        </w:rPr>
        <w:t xml:space="preserve">and leak of cytochrome-c to cytosol. </w:t>
      </w:r>
    </w:p>
    <w:p w:rsidR="00833D1F" w:rsidRDefault="00A34ED7" w:rsidP="00833D1F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33D1F">
        <w:rPr>
          <w:rFonts w:ascii="Arial" w:hAnsi="Arial" w:cs="Arial"/>
          <w:sz w:val="18"/>
          <w:szCs w:val="18"/>
        </w:rPr>
        <w:t xml:space="preserve">In conclusion, </w:t>
      </w:r>
      <w:r w:rsidR="00602F86" w:rsidRPr="00833D1F">
        <w:rPr>
          <w:rFonts w:ascii="Arial" w:hAnsi="Arial" w:cs="Arial"/>
          <w:sz w:val="18"/>
          <w:szCs w:val="18"/>
        </w:rPr>
        <w:t xml:space="preserve">IL-4 and ADMA are increased in MetS, leading to mitochondrial dysfunction through oxo-nitrative stress and </w:t>
      </w:r>
    </w:p>
    <w:p w:rsidR="00833D1F" w:rsidRDefault="00833D1F" w:rsidP="00833D1F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833D1F" w:rsidRDefault="00833D1F" w:rsidP="00833D1F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833D1F" w:rsidRDefault="00833D1F" w:rsidP="00833D1F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602F86" w:rsidRPr="00833D1F" w:rsidRDefault="00602F86" w:rsidP="00833D1F">
      <w:pPr>
        <w:pStyle w:val="Default"/>
        <w:spacing w:line="360" w:lineRule="auto"/>
        <w:jc w:val="both"/>
        <w:rPr>
          <w:rFonts w:ascii="Arial" w:hAnsi="Arial" w:cs="Arial"/>
          <w:bCs/>
          <w:color w:val="FF0000"/>
          <w:sz w:val="18"/>
          <w:szCs w:val="18"/>
        </w:rPr>
      </w:pPr>
      <w:r w:rsidRPr="00833D1F">
        <w:rPr>
          <w:rFonts w:ascii="Arial" w:hAnsi="Arial" w:cs="Arial"/>
          <w:sz w:val="18"/>
          <w:szCs w:val="18"/>
        </w:rPr>
        <w:t>hypoxic response. This has broad applicability to multiple diseases influenced by the hypoxic response, including cancer.</w:t>
      </w:r>
    </w:p>
    <w:p w:rsidR="00833D1F" w:rsidRDefault="00833D1F" w:rsidP="00833D1F">
      <w:pPr>
        <w:pStyle w:val="Heading3"/>
        <w:spacing w:before="74" w:line="360" w:lineRule="auto"/>
        <w:ind w:left="0"/>
        <w:jc w:val="both"/>
        <w:rPr>
          <w:color w:val="BF5A14"/>
          <w:sz w:val="18"/>
          <w:szCs w:val="18"/>
        </w:rPr>
      </w:pPr>
    </w:p>
    <w:p w:rsidR="00AE3E37" w:rsidRPr="00833D1F" w:rsidRDefault="00A9710C" w:rsidP="00833D1F">
      <w:pPr>
        <w:pStyle w:val="Heading3"/>
        <w:spacing w:before="74" w:line="360" w:lineRule="auto"/>
        <w:ind w:left="0"/>
        <w:jc w:val="both"/>
        <w:rPr>
          <w:sz w:val="18"/>
          <w:szCs w:val="18"/>
        </w:rPr>
      </w:pPr>
      <w:r w:rsidRPr="00833D1F">
        <w:rPr>
          <w:color w:val="BF5A14"/>
          <w:sz w:val="18"/>
          <w:szCs w:val="18"/>
        </w:rPr>
        <w:t>Image</w:t>
      </w:r>
    </w:p>
    <w:p w:rsidR="00AE3E37" w:rsidRPr="00833D1F" w:rsidRDefault="00833D1F" w:rsidP="00833D1F">
      <w:pPr>
        <w:pStyle w:val="BodyText"/>
        <w:spacing w:before="2" w:line="360" w:lineRule="auto"/>
        <w:jc w:val="both"/>
        <w:rPr>
          <w:rFonts w:ascii="Arial" w:hAnsi="Arial" w:cs="Arial"/>
          <w:b/>
        </w:rPr>
      </w:pPr>
      <w:r w:rsidRPr="00833D1F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3165475" cy="2325379"/>
            <wp:effectExtent l="19050" t="0" r="0" b="0"/>
            <wp:docPr id="2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03009" cy="3969087"/>
                      <a:chOff x="15622587" y="29924180"/>
                      <a:chExt cx="5403009" cy="3969087"/>
                    </a:xfrm>
                  </a:grpSpPr>
                  <a:sp>
                    <a:nvSpPr>
                      <a:cNvPr id="156" name="Rectangle 155"/>
                      <a:cNvSpPr/>
                    </a:nvSpPr>
                    <a:spPr bwMode="auto">
                      <a:xfrm>
                        <a:off x="16425223" y="29924180"/>
                        <a:ext cx="748732" cy="320317"/>
                      </a:xfrm>
                      <a:prstGeom prst="rect">
                        <a:avLst/>
                      </a:prstGeom>
                      <a:solidFill>
                        <a:srgbClr val="DCFDC5"/>
                      </a:solidFill>
                    </a:spPr>
                    <a:txSp>
                      <a:txBody>
                        <a:bodyPr lIns="82953" tIns="41477" rIns="82953" bIns="41477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en-US" sz="1200" b="1" dirty="0" smtClean="0">
                              <a:solidFill>
                                <a:schemeClr val="tx1"/>
                              </a:solidFill>
                              <a:latin typeface="Calibri" pitchFamily="34" charset="0"/>
                            </a:rPr>
                            <a:t>IL-4</a:t>
                          </a:r>
                          <a:endParaRPr lang="en-US" sz="1200" b="1" dirty="0">
                            <a:solidFill>
                              <a:schemeClr val="tx1"/>
                            </a:solidFill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57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6493833" y="30488981"/>
                        <a:ext cx="701686" cy="260657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ADMA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59" name="Down Arrow 158"/>
                      <a:cNvSpPr/>
                    </a:nvSpPr>
                    <a:spPr bwMode="auto">
                      <a:xfrm rot="10800000" flipH="1">
                        <a:off x="17248539" y="29978192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60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5622587" y="32460045"/>
                        <a:ext cx="824806" cy="260657"/>
                      </a:xfrm>
                      <a:prstGeom prst="rect">
                        <a:avLst/>
                      </a:prstGeom>
                      <a:solidFill>
                        <a:srgbClr val="41DFAE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miR-210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161" name="Straight Arrow Connector 160"/>
                      <a:cNvCxnSpPr/>
                    </a:nvCxnSpPr>
                    <a:spPr bwMode="auto">
                      <a:xfrm rot="16200000" flipH="1">
                        <a:off x="16006260" y="32915127"/>
                        <a:ext cx="612125" cy="508227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62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9252778" y="32411399"/>
                        <a:ext cx="741628" cy="260647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err="1" smtClean="0">
                              <a:latin typeface="Calibri" pitchFamily="34" charset="0"/>
                            </a:rPr>
                            <a:t>Cyto</a:t>
                          </a:r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-c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64" name="Oval 163"/>
                      <a:cNvSpPr/>
                    </a:nvSpPr>
                    <a:spPr>
                      <a:xfrm>
                        <a:off x="16356613" y="31656267"/>
                        <a:ext cx="1163971" cy="267926"/>
                      </a:xfrm>
                      <a:prstGeom prst="ellipse">
                        <a:avLst/>
                      </a:prstGeom>
                      <a:solidFill>
                        <a:srgbClr val="87E387"/>
                      </a:solidFill>
                    </a:spPr>
                    <a:txSp>
                      <a:txBody>
                        <a:bodyPr lIns="75255" tIns="37628" rIns="75255" bIns="37628" rtlCol="0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IN" sz="1200" b="1" dirty="0" smtClean="0">
                              <a:solidFill>
                                <a:schemeClr val="tx1"/>
                              </a:solidFill>
                              <a:latin typeface="Calibri" pitchFamily="34" charset="0"/>
                            </a:rPr>
                            <a:t>HIF1</a:t>
                          </a:r>
                          <a:r>
                            <a:rPr lang="el-GR" sz="1200" b="1" dirty="0" smtClean="0">
                              <a:solidFill>
                                <a:schemeClr val="tx1"/>
                              </a:solidFill>
                              <a:latin typeface="Calibri" pitchFamily="34" charset="0"/>
                              <a:cs typeface="Times New Roman"/>
                            </a:rPr>
                            <a:t>α</a:t>
                          </a:r>
                          <a:endParaRPr lang="en-IN" sz="1200" b="1" dirty="0">
                            <a:solidFill>
                              <a:schemeClr val="tx1"/>
                            </a:solidFill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65" name="Straight Arrow Connector 164"/>
                      <a:cNvCxnSpPr/>
                    </a:nvCxnSpPr>
                    <a:spPr bwMode="auto">
                      <a:xfrm flipH="1">
                        <a:off x="16543173" y="32043412"/>
                        <a:ext cx="274439" cy="328656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68" name="Down Arrow 167"/>
                      <a:cNvSpPr/>
                    </a:nvSpPr>
                    <a:spPr bwMode="auto">
                      <a:xfrm rot="10800000" flipH="1">
                        <a:off x="17572468" y="31669901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69" name="Straight Arrow Connector 168"/>
                      <a:cNvCxnSpPr/>
                    </a:nvCxnSpPr>
                    <a:spPr bwMode="auto">
                      <a:xfrm>
                        <a:off x="16768272" y="30816743"/>
                        <a:ext cx="1" cy="164325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70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9630757" y="31017729"/>
                        <a:ext cx="1173430" cy="260657"/>
                      </a:xfrm>
                      <a:prstGeom prst="rect">
                        <a:avLst/>
                      </a:prstGeom>
                      <a:solidFill>
                        <a:srgbClr val="A0D0F0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3-Nitrotyrosine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71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6493833" y="31036552"/>
                        <a:ext cx="548877" cy="260657"/>
                      </a:xfrm>
                      <a:prstGeom prst="rect">
                        <a:avLst/>
                      </a:prstGeom>
                      <a:solidFill>
                        <a:srgbClr val="A0D0F0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err="1" smtClean="0">
                              <a:latin typeface="Calibri" pitchFamily="34" charset="0"/>
                            </a:rPr>
                            <a:t>iNOS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172" name="Straight Arrow Connector 171"/>
                      <a:cNvCxnSpPr/>
                    </a:nvCxnSpPr>
                    <a:spPr bwMode="auto">
                      <a:xfrm>
                        <a:off x="16835051" y="30224894"/>
                        <a:ext cx="1830" cy="164325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73" name="Down Arrow 172"/>
                      <a:cNvSpPr/>
                    </a:nvSpPr>
                    <a:spPr bwMode="auto">
                      <a:xfrm rot="10800000" flipH="1">
                        <a:off x="17111320" y="31036551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07" name="Down Arrow 206"/>
                      <a:cNvSpPr/>
                    </a:nvSpPr>
                    <a:spPr bwMode="auto">
                      <a:xfrm rot="10800000" flipH="1">
                        <a:off x="20880388" y="31015781"/>
                        <a:ext cx="145208" cy="22862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09" name="Down Arrow 208"/>
                      <a:cNvSpPr/>
                    </a:nvSpPr>
                    <a:spPr bwMode="auto">
                      <a:xfrm rot="10800000" flipH="1">
                        <a:off x="20056975" y="32396068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5" name="Down Arrow 214"/>
                      <a:cNvSpPr/>
                    </a:nvSpPr>
                    <a:spPr bwMode="auto">
                      <a:xfrm rot="10800000" flipH="1">
                        <a:off x="16566438" y="32456984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solidFill>
                          <a:srgbClr val="1219A6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6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7510286" y="32732261"/>
                        <a:ext cx="741628" cy="260647"/>
                      </a:xfrm>
                      <a:prstGeom prst="rect">
                        <a:avLst/>
                      </a:prstGeom>
                      <a:solidFill>
                        <a:srgbClr val="CECBF7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TFAM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17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7510286" y="32389319"/>
                        <a:ext cx="741628" cy="260647"/>
                      </a:xfrm>
                      <a:prstGeom prst="rect">
                        <a:avLst/>
                      </a:prstGeom>
                      <a:solidFill>
                        <a:srgbClr val="CECBF7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PGC1</a:t>
                          </a:r>
                          <a:r>
                            <a:rPr lang="el-GR" sz="1200" b="1" dirty="0" smtClean="0">
                              <a:latin typeface="Calibri" pitchFamily="34" charset="0"/>
                              <a:cs typeface="Times New Roman"/>
                            </a:rPr>
                            <a:t>α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18" name="Down Arrow 217"/>
                      <a:cNvSpPr/>
                    </a:nvSpPr>
                    <a:spPr bwMode="auto">
                      <a:xfrm>
                        <a:off x="18381533" y="32389319"/>
                        <a:ext cx="84704" cy="201240"/>
                      </a:xfrm>
                      <a:prstGeom prst="downArrow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9" name="Down Arrow 218"/>
                      <a:cNvSpPr/>
                    </a:nvSpPr>
                    <a:spPr bwMode="auto">
                      <a:xfrm>
                        <a:off x="18381533" y="32732262"/>
                        <a:ext cx="84704" cy="201240"/>
                      </a:xfrm>
                      <a:prstGeom prst="downArrow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0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993167" y="32732261"/>
                        <a:ext cx="1290506" cy="260647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IMM integrity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21" name="Down Arrow 220"/>
                      <a:cNvSpPr/>
                    </a:nvSpPr>
                    <a:spPr bwMode="auto">
                      <a:xfrm>
                        <a:off x="20329736" y="32761912"/>
                        <a:ext cx="84704" cy="201240"/>
                      </a:xfrm>
                      <a:prstGeom prst="downArrow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4" name="Down Arrow 223"/>
                      <a:cNvSpPr/>
                    </a:nvSpPr>
                    <a:spPr bwMode="auto">
                      <a:xfrm rot="10800000" flipH="1">
                        <a:off x="17248539" y="30496424"/>
                        <a:ext cx="87730" cy="242918"/>
                      </a:xfrm>
                      <a:prstGeom prst="downArrow">
                        <a:avLst/>
                      </a:prstGeom>
                      <a:solidFill>
                        <a:schemeClr val="tx2"/>
                      </a:solidFill>
                      <a:ln>
                        <a:solidFill>
                          <a:schemeClr val="tx2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9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7591588" y="31036552"/>
                        <a:ext cx="548877" cy="260657"/>
                      </a:xfrm>
                      <a:prstGeom prst="rect">
                        <a:avLst/>
                      </a:prstGeom>
                      <a:solidFill>
                        <a:srgbClr val="A0D0F0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ROS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230" name="Straight Arrow Connector 229"/>
                      <a:cNvCxnSpPr/>
                    </a:nvCxnSpPr>
                    <a:spPr bwMode="auto">
                      <a:xfrm>
                        <a:off x="18209074" y="31144577"/>
                        <a:ext cx="380118" cy="0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31" name="TextBox 3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689342" y="31036552"/>
                        <a:ext cx="411658" cy="260657"/>
                      </a:xfrm>
                      <a:prstGeom prst="rect">
                        <a:avLst/>
                      </a:prstGeom>
                      <a:solidFill>
                        <a:srgbClr val="A0D0F0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55" tIns="37628" rIns="75255" bIns="37628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RN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233" name="Straight Arrow Connector 232"/>
                      <a:cNvCxnSpPr/>
                    </a:nvCxnSpPr>
                    <a:spPr bwMode="auto">
                      <a:xfrm>
                        <a:off x="19201150" y="31144577"/>
                        <a:ext cx="380118" cy="0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34" name="Straight Arrow Connector 233"/>
                      <a:cNvCxnSpPr/>
                    </a:nvCxnSpPr>
                    <a:spPr bwMode="auto">
                      <a:xfrm rot="16200000" flipH="1">
                        <a:off x="17174447" y="30761741"/>
                        <a:ext cx="248748" cy="303107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35" name="Straight Arrow Connector 234"/>
                      <a:cNvCxnSpPr/>
                    </a:nvCxnSpPr>
                    <a:spPr bwMode="auto">
                      <a:xfrm flipH="1">
                        <a:off x="17317149" y="31360628"/>
                        <a:ext cx="343048" cy="270063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36" name="Straight Arrow Connector 235"/>
                      <a:cNvCxnSpPr/>
                    </a:nvCxnSpPr>
                    <a:spPr bwMode="auto">
                      <a:xfrm flipH="1">
                        <a:off x="17522978" y="31360628"/>
                        <a:ext cx="1234974" cy="216051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37" name="Curved Right Arrow 236"/>
                      <a:cNvSpPr/>
                    </a:nvSpPr>
                    <a:spPr>
                      <a:xfrm>
                        <a:off x="16013565" y="30604450"/>
                        <a:ext cx="343048" cy="1134267"/>
                      </a:xfrm>
                      <a:prstGeom prst="curvedRightArrow">
                        <a:avLst/>
                      </a:prstGeom>
                    </a:spPr>
                    <a:txSp>
                      <a:txBody>
                        <a:bodyPr lIns="75255" tIns="37628" rIns="75255" bIns="37628" rtlCol="0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9" name="TextBox 3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6206774" y="33632620"/>
                        <a:ext cx="2102155" cy="260647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ysClr val="windowText" lastClr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752551">
                            <a:defRPr/>
                          </a:pPr>
                          <a:r>
                            <a:rPr lang="en-US" sz="1200" b="1" dirty="0" smtClean="0">
                              <a:solidFill>
                                <a:sysClr val="windowText" lastClr="000000"/>
                              </a:solidFill>
                              <a:latin typeface="Calibri" pitchFamily="34" charset="0"/>
                            </a:rPr>
                            <a:t>Mitochondrial Dysfunction</a:t>
                          </a:r>
                          <a:endParaRPr lang="en-US" sz="1200" b="1" dirty="0" smtClean="0">
                            <a:solidFill>
                              <a:srgbClr val="0070C0"/>
                            </a:solidFill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177" name="Straight Arrow Connector 176"/>
                      <a:cNvCxnSpPr/>
                    </a:nvCxnSpPr>
                    <a:spPr bwMode="auto">
                      <a:xfrm>
                        <a:off x="17800702" y="31932062"/>
                        <a:ext cx="1306869" cy="400100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38" name="Straight Arrow Connector 237"/>
                      <a:cNvCxnSpPr/>
                    </a:nvCxnSpPr>
                    <a:spPr bwMode="auto">
                      <a:xfrm rot="10800000" flipV="1">
                        <a:off x="18236325" y="33225581"/>
                        <a:ext cx="662862" cy="306880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46" name="Straight Arrow Connector 245"/>
                      <a:cNvCxnSpPr/>
                    </a:nvCxnSpPr>
                    <a:spPr bwMode="auto">
                      <a:xfrm rot="5400000">
                        <a:off x="17491746" y="33166348"/>
                        <a:ext cx="400100" cy="217812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57" name="Plus 256"/>
                      <a:cNvSpPr/>
                    </a:nvSpPr>
                    <a:spPr>
                      <a:xfrm>
                        <a:off x="17292475" y="31074706"/>
                        <a:ext cx="217812" cy="171471"/>
                      </a:xfrm>
                      <a:prstGeom prst="mathPlus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lIns="75255" tIns="37628" rIns="75255" bIns="37628" rtlCol="0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IN" dirty="0">
                            <a:ln>
                              <a:solidFill>
                                <a:sysClr val="windowText" lastClr="000000"/>
                              </a:solidFill>
                            </a:ln>
                            <a:solidFill>
                              <a:sysClr val="windowText" lastClr="0000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259" name="Straight Connector 258"/>
                      <a:cNvCxnSpPr/>
                    </a:nvCxnSpPr>
                    <a:spPr>
                      <a:xfrm rot="16200000" flipH="1">
                        <a:off x="17294790" y="31986904"/>
                        <a:ext cx="285785" cy="29041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69" name="Straight Connector 268"/>
                      <a:cNvCxnSpPr/>
                    </a:nvCxnSpPr>
                    <a:spPr>
                      <a:xfrm rot="5400000" flipH="1" flipV="1">
                        <a:off x="17504255" y="32166723"/>
                        <a:ext cx="190714" cy="1786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81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975387" y="33041134"/>
                        <a:ext cx="1290506" cy="260647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Complex I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82" name="Text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975387" y="33377981"/>
                        <a:ext cx="1290506" cy="260647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lIns="75247" tIns="37623" rIns="75247" bIns="3762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 b="1" dirty="0" smtClean="0">
                              <a:latin typeface="Calibri" pitchFamily="34" charset="0"/>
                            </a:rPr>
                            <a:t>Complex IV</a:t>
                          </a:r>
                          <a:endParaRPr lang="en-US" sz="1200" b="1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23" name="Down Arrow 222"/>
                      <a:cNvSpPr/>
                    </a:nvSpPr>
                    <a:spPr bwMode="auto">
                      <a:xfrm>
                        <a:off x="20346987" y="33100541"/>
                        <a:ext cx="84704" cy="201240"/>
                      </a:xfrm>
                      <a:prstGeom prst="downArrow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0" name="Down Arrow 239"/>
                      <a:cNvSpPr/>
                    </a:nvSpPr>
                    <a:spPr bwMode="auto">
                      <a:xfrm>
                        <a:off x="20338483" y="33405341"/>
                        <a:ext cx="84704" cy="201240"/>
                      </a:xfrm>
                      <a:prstGeom prst="downArrow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lIns="75255" tIns="37628" rIns="75255" bIns="37628" anchor="ctr"/>
                        <a:lstStyle>
                          <a:defPPr>
                            <a:defRPr lang="en-US"/>
                          </a:defPPr>
                          <a:lvl1pPr marL="0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1881152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3762304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5643457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7524609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9405761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11286913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13168066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15049218" algn="l" defTabSz="3762304" rtl="0" eaLnBrk="1" latinLnBrk="0" hangingPunct="1">
                            <a:defRPr sz="7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n-IN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5973B9" w:rsidRPr="00833D1F" w:rsidRDefault="005973B9" w:rsidP="00833D1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833D1F">
        <w:rPr>
          <w:rFonts w:ascii="Arial" w:hAnsi="Arial" w:cs="Arial"/>
          <w:b/>
          <w:color w:val="BF5A14"/>
          <w:sz w:val="18"/>
          <w:szCs w:val="18"/>
        </w:rPr>
        <w:br/>
        <w:t xml:space="preserve">Recent Publications </w:t>
      </w:r>
    </w:p>
    <w:p w:rsidR="00856BAB" w:rsidRPr="00833D1F" w:rsidRDefault="00856BAB" w:rsidP="00917BD9">
      <w:pPr>
        <w:pStyle w:val="ListParagraph"/>
        <w:numPr>
          <w:ilvl w:val="0"/>
          <w:numId w:val="3"/>
        </w:numPr>
        <w:tabs>
          <w:tab w:val="left" w:pos="384"/>
        </w:tabs>
        <w:spacing w:before="103" w:line="360" w:lineRule="auto"/>
        <w:ind w:left="386" w:right="136"/>
        <w:rPr>
          <w:rFonts w:ascii="Arial" w:hAnsi="Arial" w:cs="Arial"/>
          <w:sz w:val="18"/>
          <w:szCs w:val="18"/>
          <w:lang w:val="en-IN"/>
        </w:rPr>
      </w:pPr>
      <w:r w:rsidRPr="00833D1F">
        <w:rPr>
          <w:rFonts w:ascii="Arial" w:hAnsi="Arial" w:cs="Arial"/>
          <w:sz w:val="18"/>
          <w:szCs w:val="18"/>
        </w:rPr>
        <w:t>Eva Kassi et al (2011) Metabolic syndrome: definitions and controversies. BMC Medicine</w:t>
      </w:r>
      <w:r w:rsidR="00917BD9">
        <w:rPr>
          <w:rFonts w:ascii="Arial" w:hAnsi="Arial" w:cs="Arial"/>
          <w:sz w:val="18"/>
          <w:szCs w:val="18"/>
        </w:rPr>
        <w:t>.</w:t>
      </w:r>
      <w:r w:rsidRPr="00833D1F">
        <w:rPr>
          <w:rFonts w:ascii="Arial" w:hAnsi="Arial" w:cs="Arial"/>
          <w:sz w:val="18"/>
          <w:szCs w:val="18"/>
        </w:rPr>
        <w:t xml:space="preserve"> 9:48</w:t>
      </w:r>
    </w:p>
    <w:p w:rsidR="00856BAB" w:rsidRPr="00833D1F" w:rsidRDefault="00856BAB" w:rsidP="00917BD9">
      <w:pPr>
        <w:pStyle w:val="ListParagraph"/>
        <w:numPr>
          <w:ilvl w:val="0"/>
          <w:numId w:val="3"/>
        </w:numPr>
        <w:tabs>
          <w:tab w:val="left" w:pos="384"/>
        </w:tabs>
        <w:spacing w:before="103" w:line="360" w:lineRule="auto"/>
        <w:ind w:left="386" w:right="136"/>
        <w:rPr>
          <w:rFonts w:ascii="Arial" w:hAnsi="Arial" w:cs="Arial"/>
          <w:sz w:val="18"/>
          <w:szCs w:val="18"/>
          <w:lang w:val="en-IN"/>
        </w:rPr>
      </w:pPr>
      <w:r w:rsidRPr="00833D1F">
        <w:rPr>
          <w:rFonts w:ascii="Arial" w:hAnsi="Arial" w:cs="Arial"/>
          <w:sz w:val="18"/>
          <w:szCs w:val="18"/>
        </w:rPr>
        <w:t>Singh VP et al (2015) Metabolic Syndrome Is Associated with Increased Oxo-Nitrative Stress and Asthma-Like Changes in Lungs. PlOS One</w:t>
      </w:r>
      <w:r w:rsidR="00917BD9">
        <w:rPr>
          <w:rFonts w:ascii="Arial" w:hAnsi="Arial" w:cs="Arial"/>
          <w:sz w:val="18"/>
          <w:szCs w:val="18"/>
        </w:rPr>
        <w:t xml:space="preserve">. </w:t>
      </w:r>
      <w:r w:rsidR="00917BD9" w:rsidRPr="00917BD9">
        <w:rPr>
          <w:rFonts w:ascii="Arial" w:hAnsi="Arial" w:cs="Arial"/>
          <w:sz w:val="18"/>
          <w:szCs w:val="18"/>
        </w:rPr>
        <w:t>10(6)</w:t>
      </w:r>
    </w:p>
    <w:p w:rsidR="00856BAB" w:rsidRPr="00833D1F" w:rsidRDefault="00856BAB" w:rsidP="00917BD9">
      <w:pPr>
        <w:pStyle w:val="ListParagraph"/>
        <w:numPr>
          <w:ilvl w:val="0"/>
          <w:numId w:val="3"/>
        </w:numPr>
        <w:tabs>
          <w:tab w:val="left" w:pos="384"/>
        </w:tabs>
        <w:spacing w:before="103" w:line="360" w:lineRule="auto"/>
        <w:ind w:left="386" w:right="136"/>
        <w:rPr>
          <w:rFonts w:ascii="Arial" w:hAnsi="Arial" w:cs="Arial"/>
          <w:sz w:val="18"/>
          <w:szCs w:val="18"/>
          <w:lang w:val="en-IN"/>
        </w:rPr>
      </w:pPr>
      <w:r w:rsidRPr="00833D1F">
        <w:rPr>
          <w:rFonts w:ascii="Arial" w:hAnsi="Arial" w:cs="Arial"/>
          <w:sz w:val="18"/>
          <w:szCs w:val="18"/>
        </w:rPr>
        <w:t>Sookoian S, Pirola CJ (2008) Non-alcoholic fatty liver disease is strongly associated with carotid atherosclerosis: a systematic review. J Hepatol</w:t>
      </w:r>
      <w:r w:rsidR="00917BD9">
        <w:rPr>
          <w:rFonts w:ascii="Arial" w:hAnsi="Arial" w:cs="Arial"/>
          <w:sz w:val="18"/>
          <w:szCs w:val="18"/>
        </w:rPr>
        <w:t>.</w:t>
      </w:r>
      <w:r w:rsidRPr="00833D1F">
        <w:rPr>
          <w:rFonts w:ascii="Arial" w:hAnsi="Arial" w:cs="Arial"/>
          <w:b/>
          <w:bCs/>
          <w:sz w:val="18"/>
          <w:szCs w:val="18"/>
          <w:lang w:val="en-IN"/>
        </w:rPr>
        <w:t xml:space="preserve"> </w:t>
      </w:r>
      <w:r w:rsidRPr="00833D1F">
        <w:rPr>
          <w:rFonts w:ascii="Arial" w:hAnsi="Arial" w:cs="Arial"/>
          <w:color w:val="000000"/>
          <w:sz w:val="18"/>
          <w:szCs w:val="18"/>
          <w:shd w:val="clear" w:color="auto" w:fill="FFFFFF"/>
        </w:rPr>
        <w:t>49(4):600-7</w:t>
      </w:r>
    </w:p>
    <w:p w:rsidR="00856BAB" w:rsidRPr="00833D1F" w:rsidRDefault="00856BAB" w:rsidP="00917BD9">
      <w:pPr>
        <w:pStyle w:val="ListParagraph"/>
        <w:numPr>
          <w:ilvl w:val="0"/>
          <w:numId w:val="3"/>
        </w:numPr>
        <w:tabs>
          <w:tab w:val="left" w:pos="384"/>
        </w:tabs>
        <w:spacing w:before="103" w:line="360" w:lineRule="auto"/>
        <w:ind w:left="386" w:right="136"/>
        <w:rPr>
          <w:rFonts w:ascii="Arial" w:hAnsi="Arial" w:cs="Arial"/>
          <w:sz w:val="18"/>
          <w:szCs w:val="18"/>
          <w:lang w:val="en-IN"/>
        </w:rPr>
      </w:pPr>
      <w:r w:rsidRPr="00833D1F">
        <w:rPr>
          <w:rFonts w:ascii="Arial" w:hAnsi="Arial" w:cs="Arial"/>
          <w:sz w:val="18"/>
          <w:szCs w:val="18"/>
        </w:rPr>
        <w:t>Sun Q et al (2012) Upregulated Protein Arginine Methyltransferase 1 by IL-4 Increases Eotaxin-1 Expression in Airway Epithelial Cells and Participates in Antigen-Induced Pulmonary Inflammation in Rats. J Immunol. 188</w:t>
      </w:r>
      <w:r w:rsidR="00917BD9">
        <w:rPr>
          <w:rFonts w:ascii="Arial" w:hAnsi="Arial" w:cs="Arial"/>
          <w:sz w:val="18"/>
          <w:szCs w:val="18"/>
        </w:rPr>
        <w:t>(7)</w:t>
      </w:r>
      <w:r w:rsidRPr="00833D1F">
        <w:rPr>
          <w:rFonts w:ascii="Arial" w:hAnsi="Arial" w:cs="Arial"/>
          <w:sz w:val="18"/>
          <w:szCs w:val="18"/>
        </w:rPr>
        <w:t>:3506-3512</w:t>
      </w:r>
      <w:r w:rsidRPr="00833D1F">
        <w:rPr>
          <w:rFonts w:ascii="Arial" w:hAnsi="Arial" w:cs="Arial"/>
          <w:sz w:val="18"/>
          <w:szCs w:val="18"/>
          <w:lang w:val="en-IN"/>
        </w:rPr>
        <w:t xml:space="preserve"> </w:t>
      </w:r>
    </w:p>
    <w:p w:rsidR="00856BAB" w:rsidRPr="00833D1F" w:rsidRDefault="00856BAB" w:rsidP="00917BD9">
      <w:pPr>
        <w:pStyle w:val="ListParagraph"/>
        <w:numPr>
          <w:ilvl w:val="0"/>
          <w:numId w:val="3"/>
        </w:numPr>
        <w:tabs>
          <w:tab w:val="left" w:pos="384"/>
        </w:tabs>
        <w:spacing w:before="103" w:line="360" w:lineRule="auto"/>
        <w:ind w:left="386" w:right="136"/>
        <w:rPr>
          <w:rFonts w:ascii="Arial" w:hAnsi="Arial" w:cs="Arial"/>
          <w:sz w:val="18"/>
          <w:szCs w:val="18"/>
          <w:lang w:val="en-IN"/>
        </w:rPr>
      </w:pPr>
      <w:r w:rsidRPr="00833D1F">
        <w:rPr>
          <w:rFonts w:ascii="Arial" w:hAnsi="Arial" w:cs="Arial"/>
          <w:sz w:val="18"/>
          <w:szCs w:val="18"/>
        </w:rPr>
        <w:t>Pattnaik et al</w:t>
      </w:r>
      <w:r w:rsidR="00833D1F">
        <w:rPr>
          <w:rFonts w:ascii="Arial" w:hAnsi="Arial" w:cs="Arial"/>
          <w:sz w:val="18"/>
          <w:szCs w:val="18"/>
        </w:rPr>
        <w:t xml:space="preserve"> </w:t>
      </w:r>
      <w:r w:rsidRPr="00833D1F">
        <w:rPr>
          <w:rFonts w:ascii="Arial" w:hAnsi="Arial" w:cs="Arial"/>
          <w:sz w:val="18"/>
          <w:szCs w:val="18"/>
        </w:rPr>
        <w:t xml:space="preserve">(2016) </w:t>
      </w:r>
      <w:r w:rsidR="00833D1F" w:rsidRPr="00833D1F">
        <w:rPr>
          <w:rFonts w:ascii="Arial" w:hAnsi="Arial" w:cs="Arial"/>
          <w:sz w:val="18"/>
          <w:szCs w:val="18"/>
        </w:rPr>
        <w:t>I</w:t>
      </w:r>
      <w:r w:rsidRPr="00833D1F">
        <w:rPr>
          <w:rFonts w:ascii="Arial" w:hAnsi="Arial" w:cs="Arial"/>
          <w:sz w:val="18"/>
          <w:szCs w:val="18"/>
        </w:rPr>
        <w:t xml:space="preserve">L-4 promotes asymmetric dimethylarginine accumulation, oxo-nitrative stress, and hypoxic </w:t>
      </w:r>
      <w:r w:rsidRPr="00917BD9">
        <w:rPr>
          <w:rFonts w:ascii="Arial" w:hAnsi="Arial" w:cs="Arial"/>
          <w:sz w:val="18"/>
          <w:szCs w:val="18"/>
        </w:rPr>
        <w:t>response–induced mitochondrial loss in airway epithelial cells</w:t>
      </w:r>
      <w:r w:rsidR="00833D1F" w:rsidRPr="00917BD9">
        <w:rPr>
          <w:rFonts w:ascii="Arial" w:hAnsi="Arial" w:cs="Arial"/>
          <w:sz w:val="18"/>
          <w:szCs w:val="18"/>
        </w:rPr>
        <w:t xml:space="preserve">. </w:t>
      </w:r>
      <w:r w:rsidRPr="00917BD9">
        <w:rPr>
          <w:rFonts w:ascii="Arial" w:hAnsi="Arial" w:cs="Arial"/>
          <w:sz w:val="18"/>
          <w:szCs w:val="18"/>
        </w:rPr>
        <w:t>JACI</w:t>
      </w:r>
      <w:r w:rsidR="00917BD9">
        <w:rPr>
          <w:rFonts w:ascii="Arial" w:hAnsi="Arial" w:cs="Arial"/>
          <w:sz w:val="18"/>
          <w:szCs w:val="18"/>
        </w:rPr>
        <w:t>.</w:t>
      </w:r>
      <w:r w:rsidRPr="00917BD9">
        <w:rPr>
          <w:rFonts w:ascii="Arial" w:hAnsi="Arial" w:cs="Arial"/>
          <w:sz w:val="18"/>
          <w:szCs w:val="18"/>
          <w:lang w:val="en-IN"/>
        </w:rPr>
        <w:t xml:space="preserve"> </w:t>
      </w:r>
      <w:r w:rsidR="00917BD9" w:rsidRPr="00917BD9">
        <w:rPr>
          <w:rFonts w:ascii="Arial" w:hAnsi="Arial" w:cs="Arial"/>
          <w:color w:val="000000"/>
          <w:sz w:val="18"/>
          <w:szCs w:val="18"/>
          <w:shd w:val="clear" w:color="auto" w:fill="FFFFFF"/>
        </w:rPr>
        <w:t>138(1):130-141</w:t>
      </w:r>
    </w:p>
    <w:p w:rsidR="00833D1F" w:rsidRPr="00833D1F" w:rsidRDefault="00833D1F" w:rsidP="00833D1F">
      <w:pPr>
        <w:pStyle w:val="BodyText"/>
        <w:spacing w:line="40" w:lineRule="exact"/>
        <w:ind w:left="2202"/>
        <w:rPr>
          <w:rFonts w:ascii="Arial" w:hAnsi="Arial" w:cs="Arial"/>
          <w:noProof/>
        </w:rPr>
      </w:pPr>
    </w:p>
    <w:sectPr w:rsidR="00833D1F" w:rsidRPr="00833D1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9C1" w:rsidRDefault="00E819C1">
      <w:r>
        <w:separator/>
      </w:r>
    </w:p>
  </w:endnote>
  <w:endnote w:type="continuationSeparator" w:id="1">
    <w:p w:rsidR="00E819C1" w:rsidRDefault="00E81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30971">
    <w:pPr>
      <w:pStyle w:val="BodyText"/>
      <w:spacing w:line="14" w:lineRule="auto"/>
      <w:rPr>
        <w:sz w:val="20"/>
      </w:rPr>
    </w:pPr>
    <w:r w:rsidRPr="00B3097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B30971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30971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9C1" w:rsidRDefault="00E819C1">
      <w:r>
        <w:separator/>
      </w:r>
    </w:p>
  </w:footnote>
  <w:footnote w:type="continuationSeparator" w:id="1">
    <w:p w:rsidR="00E819C1" w:rsidRDefault="00E81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30971">
    <w:pPr>
      <w:pStyle w:val="BodyText"/>
      <w:spacing w:line="14" w:lineRule="auto"/>
      <w:rPr>
        <w:sz w:val="20"/>
      </w:rPr>
    </w:pPr>
    <w:r w:rsidRPr="00B3097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642C6"/>
    <w:rsid w:val="00065718"/>
    <w:rsid w:val="000E2911"/>
    <w:rsid w:val="00123156"/>
    <w:rsid w:val="001263DF"/>
    <w:rsid w:val="002220FB"/>
    <w:rsid w:val="00292ED9"/>
    <w:rsid w:val="00404E5B"/>
    <w:rsid w:val="00414F7B"/>
    <w:rsid w:val="004355DC"/>
    <w:rsid w:val="004749B4"/>
    <w:rsid w:val="00494130"/>
    <w:rsid w:val="004C49DA"/>
    <w:rsid w:val="004F3523"/>
    <w:rsid w:val="00544177"/>
    <w:rsid w:val="005973B9"/>
    <w:rsid w:val="005B3A56"/>
    <w:rsid w:val="005D3719"/>
    <w:rsid w:val="00602F86"/>
    <w:rsid w:val="006060CE"/>
    <w:rsid w:val="0063497F"/>
    <w:rsid w:val="006910C5"/>
    <w:rsid w:val="00827B1F"/>
    <w:rsid w:val="00833D1F"/>
    <w:rsid w:val="00856BAB"/>
    <w:rsid w:val="00873DF0"/>
    <w:rsid w:val="008756E6"/>
    <w:rsid w:val="00917BD9"/>
    <w:rsid w:val="009B2D44"/>
    <w:rsid w:val="00A07E82"/>
    <w:rsid w:val="00A34ED7"/>
    <w:rsid w:val="00A9710C"/>
    <w:rsid w:val="00AE3E37"/>
    <w:rsid w:val="00B21A57"/>
    <w:rsid w:val="00B30971"/>
    <w:rsid w:val="00C33602"/>
    <w:rsid w:val="00CC00DB"/>
    <w:rsid w:val="00CD6F55"/>
    <w:rsid w:val="00DE3104"/>
    <w:rsid w:val="00E029EB"/>
    <w:rsid w:val="00E819C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602F86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Evanka Chopra</cp:lastModifiedBy>
  <cp:revision>2</cp:revision>
  <dcterms:created xsi:type="dcterms:W3CDTF">2016-09-15T10:07:00Z</dcterms:created>
  <dcterms:modified xsi:type="dcterms:W3CDTF">2016-09-15T10:07:00Z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