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4C3" w:rsidRPr="00D264C3" w:rsidRDefault="00D264C3" w:rsidP="00D264C3">
      <w:pPr>
        <w:pStyle w:val="Heading1"/>
        <w:spacing w:before="170"/>
        <w:ind w:left="0"/>
        <w:rPr>
          <w:color w:val="337AB7"/>
        </w:rPr>
      </w:pPr>
      <w:r w:rsidRPr="00D264C3">
        <w:rPr>
          <w:color w:val="337AB7"/>
        </w:rPr>
        <w:t>Soluble CD36 concentrations are not associated with cardiovascular risk factors in middle-aged subjects</w:t>
      </w:r>
    </w:p>
    <w:p w:rsidR="00D264C3" w:rsidRPr="00D264C3" w:rsidRDefault="00D264C3" w:rsidP="00D264C3">
      <w:pPr>
        <w:pStyle w:val="BodyText"/>
        <w:spacing w:before="73" w:line="198" w:lineRule="exact"/>
        <w:ind w:left="100" w:right="5987"/>
        <w:rPr>
          <w:rFonts w:ascii="Arial"/>
        </w:rPr>
      </w:pPr>
      <w:r w:rsidRPr="00D264C3">
        <w:rPr>
          <w:rFonts w:ascii="Arial"/>
        </w:rPr>
        <w:t>Mohammad Alkhatatbeh, Nehad Ayoub, Nizar Mhaidat, Nesreen Saadeh and Lisa F. Lincz</w:t>
      </w:r>
      <w:r>
        <w:rPr>
          <w:rFonts w:ascii="Arial"/>
        </w:rPr>
        <w:t xml:space="preserve"> </w:t>
      </w:r>
    </w:p>
    <w:p w:rsidR="00D264C3" w:rsidRDefault="00D264C3" w:rsidP="005973B9">
      <w:pPr>
        <w:pStyle w:val="BodyText"/>
        <w:spacing w:before="73" w:line="198" w:lineRule="exact"/>
        <w:ind w:left="100" w:right="5987"/>
        <w:rPr>
          <w:rFonts w:ascii="Arial"/>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264C3" w:rsidRPr="00D264C3" w:rsidRDefault="00D264C3" w:rsidP="00D264C3">
      <w:pPr>
        <w:pStyle w:val="BodyText"/>
        <w:spacing w:before="90" w:line="280" w:lineRule="auto"/>
        <w:ind w:left="100"/>
        <w:jc w:val="both"/>
      </w:pPr>
      <w:r w:rsidRPr="00D264C3">
        <w:t xml:space="preserve">Cluster of differentiation 36 (CD36) is involved in the development of atherosclerosis by enhancing macrophage endocytosis of oxidized low-density lipoproteins and foam cell formation. Soluble CD36 (sCD36) was found to be elevated in type 2 diabetic patients and possibly acted as a marker of insulin resistance and atherosclerosis. In young subjects, sCD36 was associated with cardiovascular risk factors including obesity and hypertriglyceridemia. The present study was conducted to further investigate the association between plasma sCD36 and cardiovascular risk factors among middle-aged patients with metabolic syndrome (MetS) and healthy controls. </w:t>
      </w:r>
      <w:proofErr w:type="gramStart"/>
      <w:r w:rsidRPr="00D264C3">
        <w:t>sCD36</w:t>
      </w:r>
      <w:proofErr w:type="gramEnd"/>
      <w:r w:rsidRPr="00D264C3">
        <w:t xml:space="preserve"> concentrations were determined by enzyme-linked immunosorbent assays (ELISA) for 41 patients with MetS and 36 healthy controls. Data for other variables were obtained from patient medical records. </w:t>
      </w:r>
      <w:proofErr w:type="gramStart"/>
      <w:r w:rsidRPr="00D264C3">
        <w:t>sCD36</w:t>
      </w:r>
      <w:proofErr w:type="gramEnd"/>
      <w:r w:rsidRPr="00D264C3">
        <w:t xml:space="preserve"> concentrations were relatively low compared to the majority of other studies and were not significantly different between the MetS group and controls (P=0.17). </w:t>
      </w:r>
      <w:proofErr w:type="gramStart"/>
      <w:r w:rsidRPr="00D264C3">
        <w:t>sCD36</w:t>
      </w:r>
      <w:proofErr w:type="gramEnd"/>
      <w:r w:rsidRPr="00D264C3">
        <w:t xml:space="preserve"> was also not correlated with age, body mass index, glucose, lipid profile, serum electrolytes and blood counts. </w:t>
      </w:r>
      <w:proofErr w:type="gramStart"/>
      <w:r w:rsidRPr="00D264C3">
        <w:t>sCD36</w:t>
      </w:r>
      <w:proofErr w:type="gramEnd"/>
      <w:r w:rsidRPr="00D264C3">
        <w:t xml:space="preserve"> was not significantly different between subjects with obesity, hyperglycemia, dyslipidemia, hypertension or cardiovascular disease, and those without these abnormalities (P&gt;0.05). The inconsistency between results reported in the present study and other studies may be unique to the study population or be a result of the lack of a reliable standardized method for determining absolute sCD36 concentrations. However, further investigations are required to assess CD36 tissue expression in the study population and to assess the accuracy of various commercially available sCD36 ELISA kits. Thus, the availability of a standardized simple sCD36 ELISA that could be performed in any basic laboratory would be more favorable to the specialized flow cytometry methods that detect CD36+ microparticles if it was to be used as a biomarker.</w:t>
      </w:r>
    </w:p>
    <w:p w:rsidR="00D264C3" w:rsidRDefault="00D264C3" w:rsidP="00D264C3">
      <w:pPr>
        <w:pStyle w:val="BodyText"/>
        <w:spacing w:before="90" w:line="280" w:lineRule="auto"/>
        <w:ind w:left="100"/>
        <w:jc w:val="both"/>
      </w:pPr>
    </w:p>
    <w:p w:rsidR="00AE3E37" w:rsidRDefault="00A9710C" w:rsidP="00E839BF">
      <w:pPr>
        <w:pStyle w:val="BodyText"/>
        <w:spacing w:before="90" w:line="280" w:lineRule="auto"/>
        <w:ind w:left="100"/>
        <w:jc w:val="both"/>
      </w:pPr>
      <w:r>
        <w:br w:type="column"/>
      </w:r>
      <w:r w:rsidR="00E839BF">
        <w:rPr>
          <w:color w:val="BF5A14"/>
        </w:rPr>
        <w:lastRenderedPageBreak/>
        <w:t>Table</w:t>
      </w:r>
    </w:p>
    <w:p w:rsidR="00E839BF" w:rsidRDefault="00E839BF" w:rsidP="00E839BF">
      <w:pPr>
        <w:pStyle w:val="BodyText"/>
        <w:spacing w:before="90" w:line="280" w:lineRule="auto"/>
        <w:ind w:left="100"/>
        <w:jc w:val="both"/>
      </w:pPr>
      <w:r w:rsidRPr="00E839BF">
        <w:t>Plasma sCD36 concentrations according to some metabolic variables</w:t>
      </w:r>
    </w:p>
    <w:tbl>
      <w:tblPr>
        <w:tblStyle w:val="TableGrid"/>
        <w:tblW w:w="4394" w:type="dxa"/>
        <w:tblInd w:w="250" w:type="dxa"/>
        <w:tblLook w:val="04A0" w:firstRow="1" w:lastRow="0" w:firstColumn="1" w:lastColumn="0" w:noHBand="0" w:noVBand="1"/>
      </w:tblPr>
      <w:tblGrid>
        <w:gridCol w:w="2126"/>
        <w:gridCol w:w="1276"/>
        <w:gridCol w:w="992"/>
      </w:tblGrid>
      <w:tr w:rsidR="00E839BF" w:rsidRPr="009D379A" w:rsidTr="00D506DD">
        <w:tc>
          <w:tcPr>
            <w:tcW w:w="2126" w:type="dxa"/>
          </w:tcPr>
          <w:p w:rsidR="00E839BF" w:rsidRPr="00E839BF" w:rsidRDefault="00E839BF" w:rsidP="00D506DD">
            <w:pPr>
              <w:rPr>
                <w:rFonts w:cs="Times New Roman"/>
                <w:sz w:val="18"/>
                <w:szCs w:val="18"/>
                <w:lang w:bidi="ar-JO"/>
              </w:rPr>
            </w:pPr>
            <w:r w:rsidRPr="00E839BF">
              <w:rPr>
                <w:rFonts w:cs="Times New Roman"/>
                <w:sz w:val="18"/>
                <w:szCs w:val="18"/>
                <w:lang w:bidi="ar-JO"/>
              </w:rPr>
              <w:t>Variables (n)</w:t>
            </w:r>
          </w:p>
        </w:tc>
        <w:tc>
          <w:tcPr>
            <w:tcW w:w="1276" w:type="dxa"/>
          </w:tcPr>
          <w:p w:rsidR="00E839BF" w:rsidRPr="00E839BF" w:rsidRDefault="00E839BF" w:rsidP="00D506DD">
            <w:pPr>
              <w:rPr>
                <w:rFonts w:cs="Times New Roman"/>
                <w:sz w:val="18"/>
                <w:szCs w:val="18"/>
                <w:lang w:bidi="ar-JO"/>
              </w:rPr>
            </w:pPr>
            <w:r w:rsidRPr="00E839BF">
              <w:rPr>
                <w:rFonts w:cs="Times New Roman"/>
                <w:sz w:val="18"/>
                <w:szCs w:val="18"/>
                <w:lang w:bidi="ar-JO"/>
              </w:rPr>
              <w:t>Ln sCD36</w:t>
            </w:r>
          </w:p>
        </w:tc>
        <w:tc>
          <w:tcPr>
            <w:tcW w:w="992" w:type="dxa"/>
          </w:tcPr>
          <w:p w:rsidR="00E839BF" w:rsidRPr="00E839BF" w:rsidRDefault="00E839BF" w:rsidP="00D506DD">
            <w:pPr>
              <w:rPr>
                <w:rFonts w:cs="Times New Roman"/>
                <w:sz w:val="18"/>
                <w:szCs w:val="18"/>
                <w:lang w:bidi="ar-JO"/>
              </w:rPr>
            </w:pPr>
            <w:r w:rsidRPr="00E839BF">
              <w:rPr>
                <w:rFonts w:cs="Times New Roman"/>
                <w:sz w:val="18"/>
                <w:szCs w:val="18"/>
                <w:lang w:bidi="ar-JO"/>
              </w:rPr>
              <w:t>P-value</w:t>
            </w:r>
            <w:r w:rsidRPr="00E839BF">
              <w:rPr>
                <w:rFonts w:cs="Times New Roman"/>
                <w:sz w:val="18"/>
                <w:szCs w:val="18"/>
                <w:vertAlign w:val="superscript"/>
                <w:lang w:bidi="ar-JO"/>
              </w:rPr>
              <w:t>*</w:t>
            </w:r>
          </w:p>
        </w:tc>
      </w:tr>
      <w:tr w:rsidR="00E839BF" w:rsidRPr="009D379A" w:rsidTr="00D506DD">
        <w:tc>
          <w:tcPr>
            <w:tcW w:w="2126" w:type="dxa"/>
          </w:tcPr>
          <w:p w:rsidR="00E839BF" w:rsidRPr="00E839BF" w:rsidRDefault="00E839BF" w:rsidP="00D506DD">
            <w:pPr>
              <w:rPr>
                <w:rFonts w:cs="Times New Roman"/>
                <w:sz w:val="18"/>
                <w:szCs w:val="18"/>
                <w:lang w:bidi="ar-JO"/>
              </w:rPr>
            </w:pPr>
            <w:r w:rsidRPr="00E839BF">
              <w:rPr>
                <w:rFonts w:cs="Times New Roman"/>
                <w:sz w:val="18"/>
                <w:szCs w:val="18"/>
                <w:lang w:bidi="ar-JO"/>
              </w:rPr>
              <w:t>BMI</w:t>
            </w:r>
          </w:p>
          <w:p w:rsidR="00E839BF" w:rsidRPr="00E839BF" w:rsidRDefault="00E839BF" w:rsidP="00D506DD">
            <w:pPr>
              <w:rPr>
                <w:rFonts w:cs="Times New Roman"/>
                <w:sz w:val="18"/>
                <w:szCs w:val="18"/>
                <w:lang w:bidi="ar-JO"/>
              </w:rPr>
            </w:pPr>
            <w:r w:rsidRPr="00E839BF">
              <w:rPr>
                <w:rFonts w:cs="Times New Roman"/>
                <w:sz w:val="18"/>
                <w:szCs w:val="18"/>
                <w:lang w:bidi="ar-JO"/>
              </w:rPr>
              <w:t>&lt;30 (24)</w:t>
            </w:r>
          </w:p>
          <w:p w:rsidR="00E839BF" w:rsidRPr="00E839BF" w:rsidRDefault="00E839BF" w:rsidP="00D506DD">
            <w:pPr>
              <w:rPr>
                <w:rFonts w:cs="Times New Roman"/>
                <w:sz w:val="18"/>
                <w:szCs w:val="18"/>
                <w:lang w:bidi="ar-JO"/>
              </w:rPr>
            </w:pPr>
            <w:r w:rsidRPr="00E839BF">
              <w:rPr>
                <w:rFonts w:cs="Times New Roman"/>
                <w:sz w:val="18"/>
                <w:szCs w:val="18"/>
                <w:lang w:bidi="ar-JO"/>
              </w:rPr>
              <w:t>≥30 (53)</w:t>
            </w:r>
          </w:p>
        </w:tc>
        <w:tc>
          <w:tcPr>
            <w:tcW w:w="1276"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7.88 ± 0.79</w:t>
            </w:r>
          </w:p>
          <w:p w:rsidR="00E839BF" w:rsidRPr="00E839BF" w:rsidRDefault="00E839BF" w:rsidP="00D506DD">
            <w:pPr>
              <w:rPr>
                <w:rFonts w:cs="Times New Roman"/>
                <w:sz w:val="18"/>
                <w:szCs w:val="18"/>
                <w:lang w:bidi="ar-JO"/>
              </w:rPr>
            </w:pPr>
            <w:r w:rsidRPr="00E839BF">
              <w:rPr>
                <w:rFonts w:cs="Times New Roman"/>
                <w:sz w:val="18"/>
                <w:szCs w:val="18"/>
                <w:lang w:bidi="ar-JO"/>
              </w:rPr>
              <w:t>8.14 ± 0.86</w:t>
            </w:r>
          </w:p>
        </w:tc>
        <w:tc>
          <w:tcPr>
            <w:tcW w:w="992"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0.21</w:t>
            </w:r>
          </w:p>
        </w:tc>
      </w:tr>
      <w:tr w:rsidR="00E839BF" w:rsidRPr="009D379A" w:rsidTr="00D506DD">
        <w:tc>
          <w:tcPr>
            <w:tcW w:w="2126" w:type="dxa"/>
          </w:tcPr>
          <w:p w:rsidR="00E839BF" w:rsidRPr="00E839BF" w:rsidRDefault="00E839BF" w:rsidP="00D506DD">
            <w:pPr>
              <w:rPr>
                <w:rFonts w:cs="Times New Roman"/>
                <w:sz w:val="18"/>
                <w:szCs w:val="18"/>
                <w:lang w:bidi="ar-JO"/>
              </w:rPr>
            </w:pPr>
            <w:r w:rsidRPr="00E839BF">
              <w:rPr>
                <w:rFonts w:cs="Times New Roman"/>
                <w:sz w:val="18"/>
                <w:szCs w:val="18"/>
                <w:lang w:bidi="ar-JO"/>
              </w:rPr>
              <w:t>Fasting glucose</w:t>
            </w:r>
          </w:p>
          <w:p w:rsidR="00E839BF" w:rsidRPr="00E839BF" w:rsidRDefault="00E839BF" w:rsidP="00D506DD">
            <w:pPr>
              <w:rPr>
                <w:rFonts w:cs="Times New Roman"/>
                <w:sz w:val="18"/>
                <w:szCs w:val="18"/>
                <w:lang w:bidi="ar-JO"/>
              </w:rPr>
            </w:pPr>
            <w:r w:rsidRPr="00E839BF">
              <w:rPr>
                <w:rFonts w:cs="Times New Roman"/>
                <w:sz w:val="18"/>
                <w:szCs w:val="18"/>
                <w:lang w:bidi="ar-JO"/>
              </w:rPr>
              <w:t>≤ 6.1 (40)</w:t>
            </w:r>
          </w:p>
          <w:p w:rsidR="00E839BF" w:rsidRPr="00E839BF" w:rsidRDefault="00E839BF" w:rsidP="00D506DD">
            <w:pPr>
              <w:rPr>
                <w:rFonts w:cs="Times New Roman"/>
                <w:sz w:val="18"/>
                <w:szCs w:val="18"/>
                <w:lang w:bidi="ar-JO"/>
              </w:rPr>
            </w:pPr>
            <w:r w:rsidRPr="00E839BF">
              <w:rPr>
                <w:rFonts w:cs="Times New Roman"/>
                <w:sz w:val="18"/>
                <w:szCs w:val="18"/>
                <w:lang w:bidi="ar-JO"/>
              </w:rPr>
              <w:t>&gt; 6.1 (37)</w:t>
            </w:r>
          </w:p>
        </w:tc>
        <w:tc>
          <w:tcPr>
            <w:tcW w:w="1276"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7.88 ± 0.84</w:t>
            </w:r>
          </w:p>
          <w:p w:rsidR="00E839BF" w:rsidRPr="00E839BF" w:rsidRDefault="00E839BF" w:rsidP="00D506DD">
            <w:pPr>
              <w:rPr>
                <w:rFonts w:cs="Times New Roman"/>
                <w:sz w:val="18"/>
                <w:szCs w:val="18"/>
                <w:lang w:bidi="ar-JO"/>
              </w:rPr>
            </w:pPr>
            <w:r w:rsidRPr="00E839BF">
              <w:rPr>
                <w:rFonts w:cs="Times New Roman"/>
                <w:sz w:val="18"/>
                <w:szCs w:val="18"/>
                <w:lang w:bidi="ar-JO"/>
              </w:rPr>
              <w:t>8.25 ± 0.82</w:t>
            </w:r>
          </w:p>
        </w:tc>
        <w:tc>
          <w:tcPr>
            <w:tcW w:w="992"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0.06</w:t>
            </w:r>
          </w:p>
        </w:tc>
      </w:tr>
      <w:tr w:rsidR="00E839BF" w:rsidRPr="009D379A" w:rsidTr="00D506DD">
        <w:tc>
          <w:tcPr>
            <w:tcW w:w="2126" w:type="dxa"/>
          </w:tcPr>
          <w:p w:rsidR="00E839BF" w:rsidRPr="00E839BF" w:rsidRDefault="00E839BF" w:rsidP="00D506DD">
            <w:pPr>
              <w:rPr>
                <w:rFonts w:cs="Times New Roman"/>
                <w:sz w:val="18"/>
                <w:szCs w:val="18"/>
                <w:lang w:bidi="ar-JO"/>
              </w:rPr>
            </w:pPr>
            <w:r w:rsidRPr="00E839BF">
              <w:rPr>
                <w:rFonts w:cs="Times New Roman"/>
                <w:sz w:val="18"/>
                <w:szCs w:val="18"/>
                <w:lang w:bidi="ar-JO"/>
              </w:rPr>
              <w:t>Total Cholesterol</w:t>
            </w:r>
          </w:p>
          <w:p w:rsidR="00E839BF" w:rsidRPr="00E839BF" w:rsidRDefault="00E839BF" w:rsidP="00D506DD">
            <w:pPr>
              <w:rPr>
                <w:rFonts w:cs="Times New Roman"/>
                <w:sz w:val="18"/>
                <w:szCs w:val="18"/>
                <w:lang w:bidi="ar-JO"/>
              </w:rPr>
            </w:pPr>
            <w:r w:rsidRPr="00E839BF">
              <w:rPr>
                <w:rFonts w:cs="Times New Roman"/>
                <w:sz w:val="18"/>
                <w:szCs w:val="18"/>
                <w:lang w:bidi="ar-JO"/>
              </w:rPr>
              <w:t>&lt;5 (52)</w:t>
            </w:r>
          </w:p>
          <w:p w:rsidR="00E839BF" w:rsidRPr="00E839BF" w:rsidRDefault="00E839BF" w:rsidP="00D506DD">
            <w:pPr>
              <w:rPr>
                <w:rFonts w:cs="Times New Roman"/>
                <w:sz w:val="18"/>
                <w:szCs w:val="18"/>
                <w:lang w:bidi="ar-JO"/>
              </w:rPr>
            </w:pPr>
            <w:r w:rsidRPr="00E839BF">
              <w:rPr>
                <w:rFonts w:cs="Times New Roman"/>
                <w:sz w:val="18"/>
                <w:szCs w:val="18"/>
                <w:lang w:bidi="ar-JO"/>
              </w:rPr>
              <w:t>≥5 (25)</w:t>
            </w:r>
          </w:p>
        </w:tc>
        <w:tc>
          <w:tcPr>
            <w:tcW w:w="1276"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8.08 ± 0.08</w:t>
            </w:r>
          </w:p>
          <w:p w:rsidR="00E839BF" w:rsidRPr="00E839BF" w:rsidRDefault="00E839BF" w:rsidP="00D506DD">
            <w:pPr>
              <w:rPr>
                <w:rFonts w:cs="Times New Roman"/>
                <w:sz w:val="18"/>
                <w:szCs w:val="18"/>
                <w:lang w:bidi="ar-JO"/>
              </w:rPr>
            </w:pPr>
            <w:r w:rsidRPr="00E839BF">
              <w:rPr>
                <w:rFonts w:cs="Times New Roman"/>
                <w:sz w:val="18"/>
                <w:szCs w:val="18"/>
                <w:lang w:bidi="ar-JO"/>
              </w:rPr>
              <w:t>8.01 ± 0.87</w:t>
            </w:r>
          </w:p>
        </w:tc>
        <w:tc>
          <w:tcPr>
            <w:tcW w:w="992"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0.74</w:t>
            </w:r>
          </w:p>
        </w:tc>
      </w:tr>
      <w:tr w:rsidR="00E839BF" w:rsidRPr="009D379A" w:rsidTr="00D506DD">
        <w:tc>
          <w:tcPr>
            <w:tcW w:w="2126" w:type="dxa"/>
          </w:tcPr>
          <w:p w:rsidR="00E839BF" w:rsidRPr="00E839BF" w:rsidRDefault="00E839BF" w:rsidP="00D506DD">
            <w:pPr>
              <w:rPr>
                <w:rFonts w:cs="Times New Roman"/>
                <w:sz w:val="18"/>
                <w:szCs w:val="18"/>
                <w:lang w:bidi="ar-JO"/>
              </w:rPr>
            </w:pPr>
            <w:r w:rsidRPr="00E839BF">
              <w:rPr>
                <w:rFonts w:cs="Times New Roman"/>
                <w:sz w:val="18"/>
                <w:szCs w:val="18"/>
                <w:lang w:bidi="ar-JO"/>
              </w:rPr>
              <w:t xml:space="preserve">HDL </w:t>
            </w:r>
          </w:p>
          <w:p w:rsidR="00E839BF" w:rsidRPr="00E839BF" w:rsidRDefault="00E839BF" w:rsidP="00D506DD">
            <w:pPr>
              <w:rPr>
                <w:rFonts w:cs="Times New Roman"/>
                <w:sz w:val="18"/>
                <w:szCs w:val="18"/>
                <w:lang w:bidi="ar-JO"/>
              </w:rPr>
            </w:pPr>
            <w:r w:rsidRPr="00E839BF">
              <w:rPr>
                <w:rFonts w:cs="Times New Roman"/>
                <w:sz w:val="18"/>
                <w:szCs w:val="18"/>
                <w:lang w:bidi="ar-JO"/>
              </w:rPr>
              <w:t>≤ 0.9 (32)</w:t>
            </w:r>
          </w:p>
          <w:p w:rsidR="00E839BF" w:rsidRPr="00E839BF" w:rsidRDefault="00E839BF" w:rsidP="00D506DD">
            <w:pPr>
              <w:rPr>
                <w:rFonts w:cs="Times New Roman"/>
                <w:sz w:val="18"/>
                <w:szCs w:val="18"/>
                <w:lang w:bidi="ar-JO"/>
              </w:rPr>
            </w:pPr>
            <w:r w:rsidRPr="00E839BF">
              <w:rPr>
                <w:rFonts w:cs="Times New Roman"/>
                <w:sz w:val="18"/>
                <w:szCs w:val="18"/>
                <w:lang w:bidi="ar-JO"/>
              </w:rPr>
              <w:t>&gt; 0.9 (45)</w:t>
            </w:r>
          </w:p>
        </w:tc>
        <w:tc>
          <w:tcPr>
            <w:tcW w:w="1276"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8.27 ± 0.75</w:t>
            </w:r>
          </w:p>
          <w:p w:rsidR="00E839BF" w:rsidRPr="00E839BF" w:rsidRDefault="00E839BF" w:rsidP="00D506DD">
            <w:pPr>
              <w:rPr>
                <w:rFonts w:cs="Times New Roman"/>
                <w:sz w:val="18"/>
                <w:szCs w:val="18"/>
                <w:lang w:bidi="ar-JO"/>
              </w:rPr>
            </w:pPr>
            <w:r w:rsidRPr="00E839BF">
              <w:rPr>
                <w:rFonts w:cs="Times New Roman"/>
                <w:sz w:val="18"/>
                <w:szCs w:val="18"/>
                <w:lang w:bidi="ar-JO"/>
              </w:rPr>
              <w:t>7.9 ± 0.88</w:t>
            </w:r>
          </w:p>
        </w:tc>
        <w:tc>
          <w:tcPr>
            <w:tcW w:w="992"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0.63</w:t>
            </w:r>
          </w:p>
        </w:tc>
      </w:tr>
      <w:tr w:rsidR="00E839BF" w:rsidRPr="009D379A" w:rsidTr="00D506DD">
        <w:tc>
          <w:tcPr>
            <w:tcW w:w="2126" w:type="dxa"/>
          </w:tcPr>
          <w:p w:rsidR="00E839BF" w:rsidRPr="00E839BF" w:rsidRDefault="00E839BF" w:rsidP="00D506DD">
            <w:pPr>
              <w:rPr>
                <w:rFonts w:cs="Times New Roman"/>
                <w:sz w:val="18"/>
                <w:szCs w:val="18"/>
                <w:lang w:bidi="ar-JO"/>
              </w:rPr>
            </w:pPr>
            <w:r w:rsidRPr="00E839BF">
              <w:rPr>
                <w:rFonts w:cs="Times New Roman"/>
                <w:sz w:val="18"/>
                <w:szCs w:val="18"/>
                <w:lang w:bidi="ar-JO"/>
              </w:rPr>
              <w:t>LDL</w:t>
            </w:r>
          </w:p>
          <w:p w:rsidR="00E839BF" w:rsidRPr="00E839BF" w:rsidRDefault="00E839BF" w:rsidP="00D506DD">
            <w:pPr>
              <w:rPr>
                <w:rFonts w:cs="Times New Roman"/>
                <w:sz w:val="18"/>
                <w:szCs w:val="18"/>
                <w:lang w:bidi="ar-JO"/>
              </w:rPr>
            </w:pPr>
            <w:r w:rsidRPr="00E839BF">
              <w:rPr>
                <w:rFonts w:cs="Times New Roman"/>
                <w:sz w:val="18"/>
                <w:szCs w:val="18"/>
                <w:lang w:bidi="ar-JO"/>
              </w:rPr>
              <w:t>&lt;3 (42)</w:t>
            </w:r>
          </w:p>
          <w:p w:rsidR="00E839BF" w:rsidRPr="00E839BF" w:rsidRDefault="00E839BF" w:rsidP="00D506DD">
            <w:pPr>
              <w:rPr>
                <w:rFonts w:cs="Times New Roman"/>
                <w:sz w:val="18"/>
                <w:szCs w:val="18"/>
                <w:lang w:bidi="ar-JO"/>
              </w:rPr>
            </w:pPr>
            <w:r w:rsidRPr="00E839BF">
              <w:rPr>
                <w:rFonts w:cs="Times New Roman"/>
                <w:sz w:val="18"/>
                <w:szCs w:val="18"/>
                <w:lang w:bidi="ar-JO"/>
              </w:rPr>
              <w:t>≥3 (35)</w:t>
            </w:r>
          </w:p>
        </w:tc>
        <w:tc>
          <w:tcPr>
            <w:tcW w:w="1276"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8.01 ± 0.84</w:t>
            </w:r>
          </w:p>
          <w:p w:rsidR="00E839BF" w:rsidRPr="00E839BF" w:rsidRDefault="00E839BF" w:rsidP="00D506DD">
            <w:pPr>
              <w:rPr>
                <w:rFonts w:cs="Times New Roman"/>
                <w:sz w:val="18"/>
                <w:szCs w:val="18"/>
                <w:lang w:bidi="ar-JO"/>
              </w:rPr>
            </w:pPr>
            <w:r w:rsidRPr="00E839BF">
              <w:rPr>
                <w:rFonts w:cs="Times New Roman"/>
                <w:sz w:val="18"/>
                <w:szCs w:val="18"/>
                <w:lang w:bidi="ar-JO"/>
              </w:rPr>
              <w:t>8.11 ± 0.85</w:t>
            </w:r>
          </w:p>
        </w:tc>
        <w:tc>
          <w:tcPr>
            <w:tcW w:w="992"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0.61</w:t>
            </w:r>
          </w:p>
        </w:tc>
      </w:tr>
      <w:tr w:rsidR="00E839BF" w:rsidRPr="009D379A" w:rsidTr="00D506DD">
        <w:tc>
          <w:tcPr>
            <w:tcW w:w="2126" w:type="dxa"/>
          </w:tcPr>
          <w:p w:rsidR="00E839BF" w:rsidRPr="00E839BF" w:rsidRDefault="00E839BF" w:rsidP="00D506DD">
            <w:pPr>
              <w:rPr>
                <w:rFonts w:cs="Times New Roman"/>
                <w:sz w:val="18"/>
                <w:szCs w:val="18"/>
                <w:lang w:bidi="ar-JO"/>
              </w:rPr>
            </w:pPr>
            <w:r w:rsidRPr="00E839BF">
              <w:rPr>
                <w:rFonts w:cs="Times New Roman"/>
                <w:sz w:val="18"/>
                <w:szCs w:val="18"/>
                <w:lang w:bidi="ar-JO"/>
              </w:rPr>
              <w:t>Triglycerides</w:t>
            </w:r>
          </w:p>
          <w:p w:rsidR="00E839BF" w:rsidRPr="00E839BF" w:rsidRDefault="00E839BF" w:rsidP="00D506DD">
            <w:pPr>
              <w:rPr>
                <w:rFonts w:cs="Times New Roman"/>
                <w:sz w:val="18"/>
                <w:szCs w:val="18"/>
                <w:lang w:bidi="ar-JO"/>
              </w:rPr>
            </w:pPr>
            <w:r w:rsidRPr="00E839BF">
              <w:rPr>
                <w:rFonts w:cs="Times New Roman"/>
                <w:sz w:val="18"/>
                <w:szCs w:val="18"/>
                <w:lang w:bidi="ar-JO"/>
              </w:rPr>
              <w:t>&lt;1.7 (46)</w:t>
            </w:r>
          </w:p>
          <w:p w:rsidR="00E839BF" w:rsidRPr="00E839BF" w:rsidRDefault="00E839BF" w:rsidP="00D506DD">
            <w:pPr>
              <w:rPr>
                <w:rFonts w:cs="Times New Roman"/>
                <w:sz w:val="18"/>
                <w:szCs w:val="18"/>
                <w:lang w:bidi="ar-JO"/>
              </w:rPr>
            </w:pPr>
            <w:r w:rsidRPr="00E839BF">
              <w:rPr>
                <w:rFonts w:cs="Times New Roman"/>
                <w:sz w:val="18"/>
                <w:szCs w:val="18"/>
                <w:lang w:bidi="ar-JO"/>
              </w:rPr>
              <w:t>≥1.7 (31)</w:t>
            </w:r>
          </w:p>
        </w:tc>
        <w:tc>
          <w:tcPr>
            <w:tcW w:w="1276"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8.08 ± 0.82</w:t>
            </w:r>
          </w:p>
          <w:p w:rsidR="00E839BF" w:rsidRPr="00E839BF" w:rsidRDefault="00E839BF" w:rsidP="00D506DD">
            <w:pPr>
              <w:rPr>
                <w:rFonts w:cs="Times New Roman"/>
                <w:sz w:val="18"/>
                <w:szCs w:val="18"/>
                <w:lang w:bidi="ar-JO"/>
              </w:rPr>
            </w:pPr>
            <w:r w:rsidRPr="00E839BF">
              <w:rPr>
                <w:rFonts w:cs="Times New Roman"/>
                <w:sz w:val="18"/>
                <w:szCs w:val="18"/>
                <w:lang w:bidi="ar-JO"/>
              </w:rPr>
              <w:t>8.02 ± 0.9</w:t>
            </w:r>
          </w:p>
        </w:tc>
        <w:tc>
          <w:tcPr>
            <w:tcW w:w="992"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0.76</w:t>
            </w:r>
          </w:p>
        </w:tc>
      </w:tr>
      <w:tr w:rsidR="00E839BF" w:rsidRPr="009D379A" w:rsidTr="00D506DD">
        <w:tc>
          <w:tcPr>
            <w:tcW w:w="2126" w:type="dxa"/>
          </w:tcPr>
          <w:p w:rsidR="00E839BF" w:rsidRPr="00E839BF" w:rsidRDefault="00E839BF" w:rsidP="00D506DD">
            <w:pPr>
              <w:rPr>
                <w:rFonts w:cs="Times New Roman"/>
                <w:sz w:val="18"/>
                <w:szCs w:val="18"/>
                <w:lang w:bidi="ar-JO"/>
              </w:rPr>
            </w:pPr>
            <w:r w:rsidRPr="00E839BF">
              <w:rPr>
                <w:rFonts w:cs="Times New Roman"/>
                <w:sz w:val="18"/>
                <w:szCs w:val="18"/>
                <w:lang w:bidi="ar-JO"/>
              </w:rPr>
              <w:t>Hypertension</w:t>
            </w:r>
          </w:p>
          <w:p w:rsidR="00E839BF" w:rsidRPr="00E839BF" w:rsidRDefault="00E839BF" w:rsidP="00D506DD">
            <w:pPr>
              <w:rPr>
                <w:rFonts w:cs="Times New Roman"/>
                <w:sz w:val="18"/>
                <w:szCs w:val="18"/>
                <w:lang w:bidi="ar-JO"/>
              </w:rPr>
            </w:pPr>
            <w:r w:rsidRPr="00E839BF">
              <w:rPr>
                <w:rFonts w:cs="Times New Roman"/>
                <w:sz w:val="18"/>
                <w:szCs w:val="18"/>
                <w:lang w:bidi="ar-JO"/>
              </w:rPr>
              <w:t>Yes (22)</w:t>
            </w:r>
          </w:p>
          <w:p w:rsidR="00E839BF" w:rsidRPr="00E839BF" w:rsidRDefault="00E839BF" w:rsidP="00D506DD">
            <w:pPr>
              <w:rPr>
                <w:rFonts w:cs="Times New Roman"/>
                <w:sz w:val="18"/>
                <w:szCs w:val="18"/>
                <w:lang w:bidi="ar-JO"/>
              </w:rPr>
            </w:pPr>
            <w:r w:rsidRPr="00E839BF">
              <w:rPr>
                <w:rFonts w:cs="Times New Roman"/>
                <w:sz w:val="18"/>
                <w:szCs w:val="18"/>
                <w:lang w:bidi="ar-JO"/>
              </w:rPr>
              <w:t>No (55)</w:t>
            </w:r>
          </w:p>
        </w:tc>
        <w:tc>
          <w:tcPr>
            <w:tcW w:w="1276"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8.35 ± 0.83</w:t>
            </w:r>
          </w:p>
          <w:p w:rsidR="00E839BF" w:rsidRPr="00E839BF" w:rsidRDefault="00E839BF" w:rsidP="00D506DD">
            <w:pPr>
              <w:rPr>
                <w:rFonts w:cs="Times New Roman"/>
                <w:sz w:val="18"/>
                <w:szCs w:val="18"/>
                <w:lang w:bidi="ar-JO"/>
              </w:rPr>
            </w:pPr>
            <w:r w:rsidRPr="00E839BF">
              <w:rPr>
                <w:rFonts w:cs="Times New Roman"/>
                <w:sz w:val="18"/>
                <w:szCs w:val="18"/>
                <w:lang w:bidi="ar-JO"/>
              </w:rPr>
              <w:t>7.94 ± 0.83</w:t>
            </w:r>
          </w:p>
        </w:tc>
        <w:tc>
          <w:tcPr>
            <w:tcW w:w="992"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0.06</w:t>
            </w:r>
          </w:p>
        </w:tc>
      </w:tr>
      <w:tr w:rsidR="00E839BF" w:rsidRPr="009D379A" w:rsidTr="00D506DD">
        <w:tc>
          <w:tcPr>
            <w:tcW w:w="2126" w:type="dxa"/>
          </w:tcPr>
          <w:p w:rsidR="00E839BF" w:rsidRPr="00E839BF" w:rsidRDefault="00E839BF" w:rsidP="00D506DD">
            <w:pPr>
              <w:rPr>
                <w:rFonts w:cs="Times New Roman"/>
                <w:sz w:val="18"/>
                <w:szCs w:val="18"/>
                <w:lang w:bidi="ar-JO"/>
              </w:rPr>
            </w:pPr>
            <w:r w:rsidRPr="00E839BF">
              <w:rPr>
                <w:rFonts w:cs="Times New Roman"/>
                <w:sz w:val="18"/>
                <w:szCs w:val="18"/>
                <w:lang w:bidi="ar-JO"/>
              </w:rPr>
              <w:t>Cardiovascular disease</w:t>
            </w:r>
          </w:p>
          <w:p w:rsidR="00E839BF" w:rsidRPr="00E839BF" w:rsidRDefault="00E839BF" w:rsidP="00D506DD">
            <w:pPr>
              <w:rPr>
                <w:rFonts w:cs="Times New Roman"/>
                <w:sz w:val="18"/>
                <w:szCs w:val="18"/>
                <w:lang w:bidi="ar-JO"/>
              </w:rPr>
            </w:pPr>
            <w:r w:rsidRPr="00E839BF">
              <w:rPr>
                <w:rFonts w:cs="Times New Roman"/>
                <w:sz w:val="18"/>
                <w:szCs w:val="18"/>
                <w:lang w:bidi="ar-JO"/>
              </w:rPr>
              <w:t>Yes (13)</w:t>
            </w:r>
          </w:p>
          <w:p w:rsidR="00E839BF" w:rsidRPr="00E839BF" w:rsidRDefault="00E839BF" w:rsidP="00D506DD">
            <w:pPr>
              <w:rPr>
                <w:rFonts w:cs="Times New Roman"/>
                <w:sz w:val="18"/>
                <w:szCs w:val="18"/>
                <w:lang w:bidi="ar-JO"/>
              </w:rPr>
            </w:pPr>
            <w:r w:rsidRPr="00E839BF">
              <w:rPr>
                <w:rFonts w:cs="Times New Roman"/>
                <w:sz w:val="18"/>
                <w:szCs w:val="18"/>
                <w:lang w:bidi="ar-JO"/>
              </w:rPr>
              <w:t>No (64)</w:t>
            </w:r>
          </w:p>
        </w:tc>
        <w:tc>
          <w:tcPr>
            <w:tcW w:w="1276"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8.39 ± 0.97</w:t>
            </w:r>
          </w:p>
          <w:p w:rsidR="00E839BF" w:rsidRPr="00E839BF" w:rsidRDefault="00E839BF" w:rsidP="00D506DD">
            <w:pPr>
              <w:rPr>
                <w:rFonts w:cs="Times New Roman"/>
                <w:sz w:val="18"/>
                <w:szCs w:val="18"/>
                <w:lang w:bidi="ar-JO"/>
              </w:rPr>
            </w:pPr>
            <w:r w:rsidRPr="00E839BF">
              <w:rPr>
                <w:rFonts w:cs="Times New Roman"/>
                <w:sz w:val="18"/>
                <w:szCs w:val="18"/>
                <w:lang w:bidi="ar-JO"/>
              </w:rPr>
              <w:t>7.99 ± 0.81</w:t>
            </w:r>
          </w:p>
        </w:tc>
        <w:tc>
          <w:tcPr>
            <w:tcW w:w="992" w:type="dxa"/>
          </w:tcPr>
          <w:p w:rsidR="00E839BF" w:rsidRPr="00E839BF" w:rsidRDefault="00E839BF" w:rsidP="00D506DD">
            <w:pPr>
              <w:rPr>
                <w:rFonts w:cs="Times New Roman"/>
                <w:sz w:val="18"/>
                <w:szCs w:val="18"/>
                <w:lang w:bidi="ar-JO"/>
              </w:rPr>
            </w:pPr>
          </w:p>
          <w:p w:rsidR="00E839BF" w:rsidRPr="00E839BF" w:rsidRDefault="00E839BF" w:rsidP="00D506DD">
            <w:pPr>
              <w:rPr>
                <w:rFonts w:cs="Times New Roman"/>
                <w:sz w:val="18"/>
                <w:szCs w:val="18"/>
                <w:lang w:bidi="ar-JO"/>
              </w:rPr>
            </w:pPr>
            <w:r w:rsidRPr="00E839BF">
              <w:rPr>
                <w:rFonts w:cs="Times New Roman"/>
                <w:sz w:val="18"/>
                <w:szCs w:val="18"/>
                <w:lang w:bidi="ar-JO"/>
              </w:rPr>
              <w:t>0.12</w:t>
            </w:r>
          </w:p>
        </w:tc>
      </w:tr>
    </w:tbl>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E839BF" w:rsidRDefault="00E839BF" w:rsidP="00E839BF">
      <w:pPr>
        <w:pStyle w:val="ListParagraph"/>
        <w:numPr>
          <w:ilvl w:val="0"/>
          <w:numId w:val="3"/>
        </w:numPr>
        <w:tabs>
          <w:tab w:val="left" w:pos="384"/>
        </w:tabs>
        <w:spacing w:line="216" w:lineRule="exact"/>
        <w:ind w:right="137" w:hanging="283"/>
        <w:rPr>
          <w:sz w:val="18"/>
        </w:rPr>
      </w:pPr>
      <w:r>
        <w:rPr>
          <w:rFonts w:cs="Times"/>
          <w:color w:val="000000"/>
          <w:sz w:val="18"/>
          <w:szCs w:val="18"/>
        </w:rPr>
        <w:t>Ramos</w:t>
      </w:r>
      <w:r>
        <w:rPr>
          <w:rFonts w:cs="Times"/>
          <w:color w:val="000000"/>
          <w:sz w:val="18"/>
          <w:szCs w:val="18"/>
        </w:rPr>
        <w:noBreakHyphen/>
        <w:t xml:space="preserve">Arellano </w:t>
      </w:r>
      <w:r>
        <w:rPr>
          <w:rFonts w:cs="Times"/>
          <w:color w:val="000000"/>
          <w:sz w:val="18"/>
          <w:szCs w:val="18"/>
        </w:rPr>
        <w:t>et al (2014)</w:t>
      </w:r>
      <w:r>
        <w:rPr>
          <w:rFonts w:cs="Times"/>
          <w:color w:val="000000"/>
          <w:sz w:val="18"/>
          <w:szCs w:val="18"/>
        </w:rPr>
        <w:t xml:space="preserve">: Circulating CD36 and </w:t>
      </w:r>
      <w:proofErr w:type="spellStart"/>
      <w:r>
        <w:rPr>
          <w:rFonts w:cs="Times"/>
          <w:color w:val="000000"/>
          <w:sz w:val="18"/>
          <w:szCs w:val="18"/>
        </w:rPr>
        <w:t>oxLDL</w:t>
      </w:r>
      <w:proofErr w:type="spellEnd"/>
      <w:r>
        <w:rPr>
          <w:rFonts w:cs="Times"/>
          <w:color w:val="000000"/>
          <w:sz w:val="18"/>
          <w:szCs w:val="18"/>
        </w:rPr>
        <w:t xml:space="preserve"> levels are associated with cardiovascular risk factors in young subjects</w:t>
      </w:r>
      <w:r>
        <w:rPr>
          <w:rFonts w:cs="Times"/>
          <w:color w:val="000000"/>
          <w:sz w:val="18"/>
          <w:szCs w:val="18"/>
        </w:rPr>
        <w:t xml:space="preserve">. BMC </w:t>
      </w:r>
      <w:proofErr w:type="spellStart"/>
      <w:r>
        <w:rPr>
          <w:rFonts w:cs="Times"/>
          <w:color w:val="000000"/>
          <w:sz w:val="18"/>
          <w:szCs w:val="18"/>
        </w:rPr>
        <w:t>Cardiovasc</w:t>
      </w:r>
      <w:proofErr w:type="spellEnd"/>
      <w:r>
        <w:rPr>
          <w:rFonts w:cs="Times"/>
          <w:color w:val="000000"/>
          <w:sz w:val="18"/>
          <w:szCs w:val="18"/>
        </w:rPr>
        <w:t xml:space="preserve"> </w:t>
      </w:r>
      <w:proofErr w:type="spellStart"/>
      <w:r>
        <w:rPr>
          <w:rFonts w:cs="Times"/>
          <w:color w:val="000000"/>
          <w:sz w:val="18"/>
          <w:szCs w:val="18"/>
        </w:rPr>
        <w:t>Disord</w:t>
      </w:r>
      <w:proofErr w:type="spellEnd"/>
      <w:r>
        <w:rPr>
          <w:rFonts w:cs="Times"/>
          <w:color w:val="000000"/>
          <w:sz w:val="18"/>
          <w:szCs w:val="18"/>
        </w:rPr>
        <w:t xml:space="preserve"> 14: 54.</w:t>
      </w:r>
    </w:p>
    <w:p w:rsidR="00E839BF" w:rsidRPr="00E839BF" w:rsidRDefault="00E839BF" w:rsidP="00E839BF">
      <w:pPr>
        <w:pStyle w:val="ListParagraph"/>
        <w:numPr>
          <w:ilvl w:val="0"/>
          <w:numId w:val="3"/>
        </w:numPr>
        <w:tabs>
          <w:tab w:val="left" w:pos="384"/>
        </w:tabs>
        <w:spacing w:line="216" w:lineRule="exact"/>
        <w:ind w:right="138" w:hanging="283"/>
        <w:rPr>
          <w:sz w:val="18"/>
        </w:rPr>
      </w:pPr>
      <w:r>
        <w:rPr>
          <w:rFonts w:cs="Times"/>
          <w:color w:val="000000"/>
          <w:sz w:val="18"/>
          <w:szCs w:val="18"/>
        </w:rPr>
        <w:t xml:space="preserve">Alkhatatbeh </w:t>
      </w:r>
      <w:r>
        <w:rPr>
          <w:rFonts w:cs="Times"/>
          <w:color w:val="000000"/>
          <w:sz w:val="18"/>
          <w:szCs w:val="18"/>
        </w:rPr>
        <w:t>et al (2013)</w:t>
      </w:r>
      <w:r>
        <w:rPr>
          <w:rFonts w:cs="Times"/>
          <w:color w:val="000000"/>
          <w:sz w:val="18"/>
          <w:szCs w:val="18"/>
        </w:rPr>
        <w:t xml:space="preserve">: The origin of circulating CD36 in type 2 diabetes. </w:t>
      </w:r>
      <w:proofErr w:type="spellStart"/>
      <w:r>
        <w:rPr>
          <w:rFonts w:cs="Times"/>
          <w:color w:val="000000"/>
          <w:sz w:val="18"/>
          <w:szCs w:val="18"/>
        </w:rPr>
        <w:t>Nutr</w:t>
      </w:r>
      <w:proofErr w:type="spellEnd"/>
      <w:r>
        <w:rPr>
          <w:rFonts w:cs="Times"/>
          <w:color w:val="000000"/>
          <w:sz w:val="18"/>
          <w:szCs w:val="18"/>
        </w:rPr>
        <w:t xml:space="preserve"> Diabetes 3: e59</w:t>
      </w:r>
    </w:p>
    <w:p w:rsidR="00E839BF" w:rsidRPr="00E839BF" w:rsidRDefault="00E839BF" w:rsidP="00E839BF">
      <w:pPr>
        <w:pStyle w:val="ListParagraph"/>
        <w:numPr>
          <w:ilvl w:val="0"/>
          <w:numId w:val="3"/>
        </w:numPr>
        <w:tabs>
          <w:tab w:val="left" w:pos="384"/>
        </w:tabs>
        <w:spacing w:before="92" w:line="218" w:lineRule="exact"/>
        <w:ind w:hanging="283"/>
        <w:rPr>
          <w:sz w:val="18"/>
        </w:rPr>
      </w:pPr>
      <w:proofErr w:type="spellStart"/>
      <w:r>
        <w:rPr>
          <w:rFonts w:cs="Times"/>
          <w:color w:val="000000"/>
          <w:sz w:val="18"/>
          <w:szCs w:val="18"/>
        </w:rPr>
        <w:t>Glintborg</w:t>
      </w:r>
      <w:proofErr w:type="spellEnd"/>
      <w:r>
        <w:rPr>
          <w:rFonts w:cs="Times"/>
          <w:color w:val="000000"/>
          <w:sz w:val="18"/>
          <w:szCs w:val="18"/>
        </w:rPr>
        <w:t xml:space="preserve"> </w:t>
      </w:r>
      <w:proofErr w:type="spellStart"/>
      <w:r>
        <w:rPr>
          <w:rFonts w:cs="Times"/>
          <w:color w:val="000000"/>
          <w:sz w:val="18"/>
          <w:szCs w:val="18"/>
        </w:rPr>
        <w:t>D</w:t>
      </w:r>
      <w:r>
        <w:rPr>
          <w:rFonts w:cs="Times"/>
          <w:color w:val="000000"/>
          <w:sz w:val="18"/>
          <w:szCs w:val="18"/>
        </w:rPr>
        <w:t>et</w:t>
      </w:r>
      <w:proofErr w:type="spellEnd"/>
      <w:r>
        <w:rPr>
          <w:rFonts w:cs="Times"/>
          <w:color w:val="000000"/>
          <w:sz w:val="18"/>
          <w:szCs w:val="18"/>
        </w:rPr>
        <w:t xml:space="preserve"> al (2008)</w:t>
      </w:r>
      <w:r>
        <w:rPr>
          <w:rFonts w:cs="Times"/>
          <w:color w:val="000000"/>
          <w:sz w:val="18"/>
          <w:szCs w:val="18"/>
        </w:rPr>
        <w:t>: Soluble CD36 and risk markers of insulin resistance and atherosclerosis are elevated in polycystic ovary syndrome and significantly reduced during pioglitazone treatment. Diabetes Care 31: 328</w:t>
      </w:r>
      <w:r>
        <w:rPr>
          <w:rFonts w:cs="Times"/>
          <w:color w:val="000000"/>
          <w:sz w:val="18"/>
          <w:szCs w:val="18"/>
        </w:rPr>
        <w:noBreakHyphen/>
        <w:t>334</w:t>
      </w:r>
      <w:r>
        <w:rPr>
          <w:rFonts w:cs="Times"/>
          <w:color w:val="000000"/>
          <w:sz w:val="18"/>
          <w:szCs w:val="18"/>
        </w:rPr>
        <w:t>.</w:t>
      </w:r>
    </w:p>
    <w:p w:rsidR="00E839BF" w:rsidRPr="00E839BF" w:rsidRDefault="00E839BF" w:rsidP="00E839BF">
      <w:pPr>
        <w:pStyle w:val="ListParagraph"/>
        <w:numPr>
          <w:ilvl w:val="0"/>
          <w:numId w:val="3"/>
        </w:numPr>
        <w:tabs>
          <w:tab w:val="left" w:pos="384"/>
        </w:tabs>
        <w:spacing w:before="92" w:line="218" w:lineRule="exact"/>
        <w:ind w:hanging="283"/>
      </w:pPr>
      <w:r>
        <w:rPr>
          <w:rFonts w:cs="Times"/>
          <w:color w:val="000000"/>
          <w:sz w:val="18"/>
          <w:szCs w:val="18"/>
        </w:rPr>
        <w:t xml:space="preserve">Alkhatatbeh </w:t>
      </w:r>
      <w:r>
        <w:rPr>
          <w:rFonts w:cs="Times"/>
          <w:color w:val="000000"/>
          <w:sz w:val="18"/>
          <w:szCs w:val="18"/>
        </w:rPr>
        <w:t>et al (2011)</w:t>
      </w:r>
      <w:r>
        <w:rPr>
          <w:rFonts w:cs="Times"/>
          <w:color w:val="000000"/>
          <w:sz w:val="18"/>
          <w:szCs w:val="18"/>
        </w:rPr>
        <w:t>: The putative diabetic plasma marker, soluble CD36, is non</w:t>
      </w:r>
      <w:r>
        <w:rPr>
          <w:rFonts w:cs="Times"/>
          <w:color w:val="000000"/>
          <w:sz w:val="18"/>
          <w:szCs w:val="18"/>
        </w:rPr>
        <w:noBreakHyphen/>
        <w:t>cleaved, non</w:t>
      </w:r>
      <w:r>
        <w:rPr>
          <w:rFonts w:cs="Times"/>
          <w:color w:val="000000"/>
          <w:sz w:val="18"/>
          <w:szCs w:val="18"/>
        </w:rPr>
        <w:noBreakHyphen/>
        <w:t xml:space="preserve">soluble and entirely associated with microparticles. J </w:t>
      </w:r>
      <w:proofErr w:type="spellStart"/>
      <w:r>
        <w:rPr>
          <w:rFonts w:cs="Times"/>
          <w:color w:val="000000"/>
          <w:sz w:val="18"/>
          <w:szCs w:val="18"/>
        </w:rPr>
        <w:t>Thromb</w:t>
      </w:r>
      <w:proofErr w:type="spellEnd"/>
      <w:r>
        <w:rPr>
          <w:rFonts w:cs="Times"/>
          <w:color w:val="000000"/>
          <w:sz w:val="18"/>
          <w:szCs w:val="18"/>
        </w:rPr>
        <w:t xml:space="preserve"> </w:t>
      </w:r>
      <w:proofErr w:type="spellStart"/>
      <w:r>
        <w:rPr>
          <w:rFonts w:cs="Times"/>
          <w:color w:val="000000"/>
          <w:sz w:val="18"/>
          <w:szCs w:val="18"/>
        </w:rPr>
        <w:t>Haemost</w:t>
      </w:r>
      <w:proofErr w:type="spellEnd"/>
      <w:r>
        <w:rPr>
          <w:rFonts w:cs="Times"/>
          <w:color w:val="000000"/>
          <w:sz w:val="18"/>
          <w:szCs w:val="18"/>
        </w:rPr>
        <w:t xml:space="preserve"> 9: 844</w:t>
      </w:r>
      <w:r>
        <w:rPr>
          <w:rFonts w:cs="Times"/>
          <w:color w:val="000000"/>
          <w:sz w:val="18"/>
          <w:szCs w:val="18"/>
        </w:rPr>
        <w:noBreakHyphen/>
        <w:t>851</w:t>
      </w:r>
      <w:r>
        <w:rPr>
          <w:rFonts w:cs="Times"/>
          <w:color w:val="000000"/>
          <w:sz w:val="18"/>
          <w:szCs w:val="18"/>
        </w:rPr>
        <w:t>.</w:t>
      </w:r>
    </w:p>
    <w:p w:rsidR="00AE3E37" w:rsidRPr="008756E6" w:rsidRDefault="00E839BF" w:rsidP="00E839BF">
      <w:pPr>
        <w:pStyle w:val="ListParagraph"/>
        <w:numPr>
          <w:ilvl w:val="0"/>
          <w:numId w:val="3"/>
        </w:numPr>
        <w:tabs>
          <w:tab w:val="left" w:pos="384"/>
        </w:tabs>
        <w:spacing w:before="92" w:line="218" w:lineRule="exact"/>
        <w:ind w:right="117" w:hanging="283"/>
      </w:pPr>
      <w:r>
        <w:rPr>
          <w:rFonts w:cs="Times"/>
          <w:color w:val="000000"/>
          <w:sz w:val="18"/>
          <w:szCs w:val="18"/>
        </w:rPr>
        <w:t>Handberg A</w:t>
      </w:r>
      <w:r w:rsidR="000D6B82">
        <w:rPr>
          <w:rFonts w:cs="Times"/>
          <w:color w:val="000000"/>
          <w:sz w:val="18"/>
          <w:szCs w:val="18"/>
        </w:rPr>
        <w:t xml:space="preserve"> </w:t>
      </w:r>
      <w:r>
        <w:rPr>
          <w:rFonts w:cs="Times"/>
          <w:color w:val="000000"/>
          <w:sz w:val="18"/>
          <w:szCs w:val="18"/>
        </w:rPr>
        <w:t>et al</w:t>
      </w:r>
      <w:r>
        <w:rPr>
          <w:rFonts w:cs="Times"/>
          <w:color w:val="000000"/>
          <w:sz w:val="18"/>
          <w:szCs w:val="18"/>
        </w:rPr>
        <w:t>: Plasma sCD36 is associated with markers of atherosclerosis, insulin resistance and fatty liver in a nondiabetic healthy population. J Intern Med 271: 294</w:t>
      </w:r>
      <w:r>
        <w:rPr>
          <w:rFonts w:cs="Times"/>
          <w:color w:val="000000"/>
          <w:sz w:val="18"/>
          <w:szCs w:val="18"/>
        </w:rPr>
        <w:noBreakHyphen/>
        <w:t>304, 2012.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0D6B82" w:rsidP="000D6B82">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Alkhatatbeh has a PhD in Experimental Pharmacology and he is currently working as an assistant professor at Clinical Pharmacy Department in Jordan University of Science and Technology, Irbid, Jordan</w:t>
      </w:r>
      <w:r w:rsidR="00A9710C">
        <w:rPr>
          <w:rFonts w:ascii="Arial"/>
          <w:sz w:val="14"/>
        </w:rPr>
        <w:t>.</w:t>
      </w:r>
      <w:r>
        <w:rPr>
          <w:rFonts w:ascii="Arial"/>
          <w:sz w:val="14"/>
        </w:rPr>
        <w:t xml:space="preserve"> I am interested in studying soluble CD36 as a possible biomarker of insulin resistance, Type 2 Diabetes and its association with cardiovascular risk factors. I have some publications in the same field.</w:t>
      </w:r>
    </w:p>
    <w:p w:rsidR="00AE3E37" w:rsidRDefault="00A9710C" w:rsidP="000D6B82">
      <w:pPr>
        <w:spacing w:before="62"/>
        <w:ind w:left="4217" w:right="4235"/>
        <w:jc w:val="center"/>
        <w:rPr>
          <w:rStyle w:val="Hyperlink"/>
          <w:rFonts w:ascii="Arial"/>
          <w:sz w:val="14"/>
        </w:rPr>
      </w:pPr>
      <w:r>
        <w:rPr>
          <w:rFonts w:ascii="Arial"/>
          <w:sz w:val="14"/>
        </w:rPr>
        <w:t xml:space="preserve">Email: </w:t>
      </w:r>
      <w:hyperlink r:id="rId11" w:history="1">
        <w:r w:rsidR="000D6B82" w:rsidRPr="00730D25">
          <w:rPr>
            <w:rStyle w:val="Hyperlink"/>
            <w:rFonts w:ascii="Arial"/>
            <w:sz w:val="14"/>
          </w:rPr>
          <w:t>khatatbeh@</w:t>
        </w:r>
      </w:hyperlink>
      <w:r w:rsidR="000D6B82">
        <w:rPr>
          <w:rStyle w:val="Hyperlink"/>
          <w:rFonts w:ascii="Arial"/>
          <w:sz w:val="14"/>
        </w:rPr>
        <w:t>just.edu.jo</w:t>
      </w:r>
    </w:p>
    <w:p w:rsidR="00AE3E37" w:rsidRPr="000D6B82" w:rsidRDefault="00827B1F" w:rsidP="000D6B82">
      <w:pPr>
        <w:spacing w:before="62"/>
        <w:ind w:left="4217" w:right="4235"/>
        <w:jc w:val="center"/>
        <w:rPr>
          <w:rFonts w:ascii="Arial"/>
          <w:sz w:val="20"/>
        </w:rPr>
        <w:sectPr w:rsidR="00AE3E37" w:rsidRPr="000D6B82">
          <w:type w:val="continuous"/>
          <w:pgSz w:w="11910" w:h="16840"/>
          <w:pgMar w:top="1740" w:right="600" w:bottom="840" w:left="620" w:header="720" w:footer="720" w:gutter="0"/>
          <w:cols w:space="720"/>
        </w:sectPr>
      </w:pPr>
      <w:r w:rsidRPr="00827B1F">
        <w:rPr>
          <w:rStyle w:val="Hyperlink"/>
          <w:rFonts w:ascii="Arial"/>
          <w:color w:val="auto"/>
          <w:sz w:val="14"/>
          <w:u w:val="none"/>
        </w:rPr>
        <w:t xml:space="preserve">Phone: </w:t>
      </w:r>
      <w:r>
        <w:rPr>
          <w:rStyle w:val="Hyperlink"/>
          <w:rFonts w:ascii="Arial"/>
          <w:color w:val="auto"/>
          <w:sz w:val="14"/>
          <w:u w:val="none"/>
        </w:rPr>
        <w:t>+</w:t>
      </w:r>
      <w:r w:rsidR="000D6B82">
        <w:rPr>
          <w:rStyle w:val="Hyperlink"/>
          <w:rFonts w:ascii="Arial"/>
          <w:color w:val="auto"/>
          <w:sz w:val="14"/>
          <w:u w:val="none"/>
        </w:rPr>
        <w:t>962772296848</w:t>
      </w:r>
      <w:r w:rsidR="00292ED9">
        <w:rPr>
          <w:noProof/>
        </w:rPr>
        <mc:AlternateContent>
          <mc:Choice Requires="wps">
            <w:drawing>
              <wp:anchor distT="0" distB="0" distL="0" distR="0" simplePos="0" relativeHeight="1072" behindDoc="0" locked="0" layoutInCell="1" allowOverlap="1" wp14:anchorId="4E85272B" wp14:editId="653C87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rsidR="00AE3E37" w:rsidRDefault="00AE3E37" w:rsidP="000D6B8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59C" w:rsidRDefault="0033159C">
      <w:r>
        <w:separator/>
      </w:r>
    </w:p>
  </w:endnote>
  <w:endnote w:type="continuationSeparator" w:id="0">
    <w:p w:rsidR="0033159C" w:rsidRDefault="00331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altName w:val="Times"/>
    <w:panose1 w:val="020206030504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59C" w:rsidRDefault="0033159C">
      <w:r>
        <w:separator/>
      </w:r>
    </w:p>
  </w:footnote>
  <w:footnote w:type="continuationSeparator" w:id="0">
    <w:p w:rsidR="0033159C" w:rsidRDefault="003315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D6B82"/>
    <w:rsid w:val="000E2911"/>
    <w:rsid w:val="00123156"/>
    <w:rsid w:val="001263DF"/>
    <w:rsid w:val="002220FB"/>
    <w:rsid w:val="00292ED9"/>
    <w:rsid w:val="0033159C"/>
    <w:rsid w:val="00404E5B"/>
    <w:rsid w:val="00414F7B"/>
    <w:rsid w:val="004355DC"/>
    <w:rsid w:val="004749B4"/>
    <w:rsid w:val="00494130"/>
    <w:rsid w:val="004F3523"/>
    <w:rsid w:val="00544177"/>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264C3"/>
    <w:rsid w:val="00DE3104"/>
    <w:rsid w:val="00E029EB"/>
    <w:rsid w:val="00E839B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E839BF"/>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E839BF"/>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hatatbeh@"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2016-09-04T08:56:00Z</dcterms:created>
  <dcterms:modified xsi:type="dcterms:W3CDTF">2016-09-04T08:56:00Z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