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B76" w:rsidRPr="00A808AD" w:rsidRDefault="00CC6B76" w:rsidP="00A808A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66"/>
          <w:sz w:val="24"/>
          <w:szCs w:val="24"/>
        </w:rPr>
      </w:pPr>
    </w:p>
    <w:p w:rsidR="004A1211" w:rsidRPr="00670929" w:rsidRDefault="004A1211" w:rsidP="00442FC9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Assessment of Resting </w:t>
      </w:r>
      <w:r w:rsidR="00442FC9"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left ventricular f</w:t>
      </w:r>
      <w:r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unction</w:t>
      </w:r>
      <w:r w:rsidR="00442FC9"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in </w:t>
      </w:r>
      <w:r w:rsidR="00442FC9"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p</w:t>
      </w:r>
      <w:r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atients with</w:t>
      </w:r>
      <w:r w:rsidR="00442FC9"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non-alcoholic l</w:t>
      </w:r>
      <w:r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>iver Cirrhosis</w:t>
      </w:r>
      <w:r w:rsidR="006324BD" w:rsidRPr="0067092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complicated by liver cell failure </w:t>
      </w:r>
    </w:p>
    <w:p w:rsidR="004A1211" w:rsidRPr="00A808AD" w:rsidRDefault="004A1211" w:rsidP="00A808AD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4A1211" w:rsidRPr="00A808AD" w:rsidRDefault="004A1211" w:rsidP="00A808AD">
      <w:pPr>
        <w:bidi w:val="0"/>
        <w:spacing w:before="240" w:line="360" w:lineRule="auto"/>
        <w:ind w:right="32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808AD">
        <w:rPr>
          <w:rFonts w:asciiTheme="majorBidi" w:hAnsiTheme="majorBidi" w:cstheme="majorBidi"/>
          <w:b/>
          <w:bCs/>
          <w:sz w:val="24"/>
          <w:szCs w:val="24"/>
        </w:rPr>
        <w:t xml:space="preserve">Background  </w:t>
      </w:r>
    </w:p>
    <w:p w:rsidR="004A1211" w:rsidRPr="00A808AD" w:rsidRDefault="005142A4" w:rsidP="005142A4">
      <w:pPr>
        <w:autoSpaceDE w:val="0"/>
        <w:autoSpaceDN w:val="0"/>
        <w:bidi w:val="0"/>
        <w:adjustRightInd w:val="0"/>
        <w:spacing w:line="360" w:lineRule="auto"/>
        <w:ind w:right="-33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 study </w:t>
      </w:r>
      <w:r w:rsidR="00A047A3" w:rsidRPr="00A808AD">
        <w:rPr>
          <w:rFonts w:asciiTheme="majorBidi" w:hAnsiTheme="majorBidi" w:cstheme="majorBidi"/>
          <w:sz w:val="24"/>
          <w:szCs w:val="24"/>
        </w:rPr>
        <w:t xml:space="preserve">the left ventricular systolic and diastolic functions </w:t>
      </w:r>
      <w:r w:rsidR="00261A83" w:rsidRPr="00A808AD">
        <w:rPr>
          <w:rFonts w:asciiTheme="majorBidi" w:hAnsiTheme="majorBidi" w:cstheme="majorBidi"/>
          <w:sz w:val="24"/>
          <w:szCs w:val="24"/>
        </w:rPr>
        <w:t>in</w:t>
      </w:r>
      <w:r w:rsidR="00CE48F5">
        <w:rPr>
          <w:rFonts w:asciiTheme="majorBidi" w:hAnsiTheme="majorBidi" w:cstheme="majorBidi"/>
          <w:sz w:val="24"/>
          <w:szCs w:val="24"/>
        </w:rPr>
        <w:t xml:space="preserve"> </w:t>
      </w:r>
      <w:r w:rsidR="00261A83" w:rsidRPr="00A808AD">
        <w:rPr>
          <w:rFonts w:asciiTheme="majorBidi" w:hAnsiTheme="majorBidi" w:cstheme="majorBidi"/>
          <w:sz w:val="24"/>
          <w:szCs w:val="24"/>
        </w:rPr>
        <w:t>patients</w:t>
      </w:r>
      <w:r>
        <w:rPr>
          <w:rFonts w:asciiTheme="majorBidi" w:hAnsiTheme="majorBidi" w:cstheme="majorBidi"/>
          <w:sz w:val="24"/>
          <w:szCs w:val="24"/>
        </w:rPr>
        <w:t xml:space="preserve"> with n</w:t>
      </w:r>
      <w:r w:rsidRPr="00A808AD">
        <w:rPr>
          <w:rFonts w:asciiTheme="majorBidi" w:hAnsiTheme="majorBidi" w:cstheme="majorBidi"/>
          <w:sz w:val="24"/>
          <w:szCs w:val="24"/>
        </w:rPr>
        <w:t xml:space="preserve">on-alcoholic liver cirrhosis </w:t>
      </w:r>
      <w:r>
        <w:rPr>
          <w:rFonts w:asciiTheme="majorBidi" w:hAnsiTheme="majorBidi" w:cstheme="majorBidi"/>
          <w:sz w:val="24"/>
          <w:szCs w:val="24"/>
        </w:rPr>
        <w:t xml:space="preserve">complicated by </w:t>
      </w:r>
      <w:r w:rsidRPr="00A808AD">
        <w:rPr>
          <w:rFonts w:asciiTheme="majorBidi" w:hAnsiTheme="majorBidi" w:cstheme="majorBidi"/>
          <w:sz w:val="24"/>
          <w:szCs w:val="24"/>
        </w:rPr>
        <w:t xml:space="preserve">liver cell failure (LCF) </w:t>
      </w:r>
      <w:r>
        <w:rPr>
          <w:rFonts w:asciiTheme="majorBidi" w:hAnsiTheme="majorBidi" w:cstheme="majorBidi"/>
          <w:sz w:val="24"/>
          <w:szCs w:val="24"/>
        </w:rPr>
        <w:t>using E</w:t>
      </w:r>
      <w:r w:rsidR="00597ACD" w:rsidRPr="00A808AD">
        <w:rPr>
          <w:rFonts w:asciiTheme="majorBidi" w:hAnsiTheme="majorBidi" w:cstheme="majorBidi"/>
          <w:sz w:val="24"/>
          <w:szCs w:val="24"/>
        </w:rPr>
        <w:t xml:space="preserve">cho/Doppler measures prior to planned interventions and </w:t>
      </w:r>
      <w:r w:rsidR="000051A1">
        <w:rPr>
          <w:rFonts w:asciiTheme="majorBidi" w:hAnsiTheme="majorBidi" w:cstheme="majorBidi"/>
          <w:sz w:val="24"/>
          <w:szCs w:val="24"/>
        </w:rPr>
        <w:t xml:space="preserve">to </w:t>
      </w:r>
      <w:r w:rsidR="00597ACD" w:rsidRPr="00A808AD">
        <w:rPr>
          <w:rFonts w:asciiTheme="majorBidi" w:hAnsiTheme="majorBidi" w:cstheme="majorBidi"/>
          <w:sz w:val="24"/>
          <w:szCs w:val="24"/>
        </w:rPr>
        <w:t>correlate recorded abnormalities with</w:t>
      </w:r>
      <w:r w:rsidR="00893039" w:rsidRPr="00A808AD">
        <w:rPr>
          <w:rFonts w:asciiTheme="majorBidi" w:hAnsiTheme="majorBidi" w:cstheme="majorBidi"/>
          <w:sz w:val="24"/>
          <w:szCs w:val="24"/>
        </w:rPr>
        <w:t xml:space="preserve"> the severity of </w:t>
      </w:r>
      <w:r w:rsidR="00261A83" w:rsidRPr="00A808AD">
        <w:rPr>
          <w:rFonts w:asciiTheme="majorBidi" w:hAnsiTheme="majorBidi" w:cstheme="majorBidi"/>
          <w:sz w:val="24"/>
          <w:szCs w:val="24"/>
        </w:rPr>
        <w:t>LCF</w:t>
      </w:r>
      <w:r w:rsidR="00442FC9">
        <w:rPr>
          <w:rFonts w:asciiTheme="majorBidi" w:hAnsiTheme="majorBidi" w:cstheme="majorBidi"/>
          <w:sz w:val="24"/>
          <w:szCs w:val="24"/>
        </w:rPr>
        <w:t>.</w:t>
      </w:r>
    </w:p>
    <w:p w:rsidR="0093479A" w:rsidRPr="00A808AD" w:rsidRDefault="00CC6B76" w:rsidP="00A808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808AD">
        <w:rPr>
          <w:rFonts w:asciiTheme="majorBidi" w:hAnsiTheme="majorBidi" w:cstheme="majorBidi"/>
          <w:b/>
          <w:bCs/>
          <w:sz w:val="24"/>
          <w:szCs w:val="24"/>
        </w:rPr>
        <w:t>Methods</w:t>
      </w:r>
    </w:p>
    <w:p w:rsidR="00CC6B76" w:rsidRPr="00A808AD" w:rsidRDefault="00CC6B76" w:rsidP="00CE48F5">
      <w:pPr>
        <w:autoSpaceDE w:val="0"/>
        <w:autoSpaceDN w:val="0"/>
        <w:bidi w:val="0"/>
        <w:adjustRightInd w:val="0"/>
        <w:spacing w:line="360" w:lineRule="auto"/>
        <w:ind w:right="-334"/>
        <w:jc w:val="both"/>
        <w:rPr>
          <w:rFonts w:asciiTheme="majorBidi" w:hAnsiTheme="majorBidi" w:cstheme="majorBidi"/>
          <w:sz w:val="24"/>
          <w:szCs w:val="24"/>
        </w:rPr>
      </w:pPr>
      <w:r w:rsidRPr="00A808AD">
        <w:rPr>
          <w:rFonts w:asciiTheme="majorBidi" w:hAnsiTheme="majorBidi" w:cstheme="majorBidi"/>
          <w:sz w:val="24"/>
          <w:szCs w:val="24"/>
        </w:rPr>
        <w:t xml:space="preserve"> Thirty</w:t>
      </w:r>
      <w:r w:rsidR="00261A83" w:rsidRPr="00A808AD">
        <w:rPr>
          <w:rFonts w:asciiTheme="majorBidi" w:hAnsiTheme="majorBidi" w:cstheme="majorBidi"/>
          <w:sz w:val="24"/>
          <w:szCs w:val="24"/>
        </w:rPr>
        <w:t>-</w:t>
      </w:r>
      <w:r w:rsidR="0093479A" w:rsidRPr="00A808AD">
        <w:rPr>
          <w:rFonts w:asciiTheme="majorBidi" w:hAnsiTheme="majorBidi" w:cstheme="majorBidi"/>
          <w:sz w:val="24"/>
          <w:szCs w:val="24"/>
        </w:rPr>
        <w:t>five</w:t>
      </w:r>
      <w:r w:rsidRPr="00A808AD">
        <w:rPr>
          <w:rFonts w:asciiTheme="majorBidi" w:hAnsiTheme="majorBidi" w:cstheme="majorBidi"/>
          <w:sz w:val="24"/>
          <w:szCs w:val="24"/>
        </w:rPr>
        <w:t xml:space="preserve"> patients with </w:t>
      </w:r>
      <w:r w:rsidR="00BE703C" w:rsidRPr="00A808AD">
        <w:rPr>
          <w:rFonts w:asciiTheme="majorBidi" w:hAnsiTheme="majorBidi" w:cstheme="majorBidi"/>
          <w:sz w:val="24"/>
          <w:szCs w:val="24"/>
        </w:rPr>
        <w:t xml:space="preserve">non-alcoholic </w:t>
      </w:r>
      <w:r w:rsidRPr="00A808AD">
        <w:rPr>
          <w:rFonts w:asciiTheme="majorBidi" w:hAnsiTheme="majorBidi" w:cstheme="majorBidi"/>
          <w:sz w:val="24"/>
          <w:szCs w:val="24"/>
        </w:rPr>
        <w:t>liver cirrhosis</w:t>
      </w:r>
      <w:r w:rsidR="00D6614B" w:rsidRPr="00A808AD">
        <w:rPr>
          <w:rFonts w:asciiTheme="majorBidi" w:hAnsiTheme="majorBidi" w:cstheme="majorBidi"/>
          <w:sz w:val="24"/>
          <w:szCs w:val="24"/>
        </w:rPr>
        <w:t xml:space="preserve"> complicated by LCF were referred from the internal </w:t>
      </w:r>
      <w:r w:rsidR="00BE703C" w:rsidRPr="00A808AD">
        <w:rPr>
          <w:rFonts w:asciiTheme="majorBidi" w:hAnsiTheme="majorBidi" w:cstheme="majorBidi"/>
          <w:sz w:val="24"/>
          <w:szCs w:val="24"/>
        </w:rPr>
        <w:t>medicine for</w:t>
      </w:r>
      <w:r w:rsidR="00D6614B" w:rsidRPr="00A808AD">
        <w:rPr>
          <w:rFonts w:asciiTheme="majorBidi" w:hAnsiTheme="majorBidi" w:cstheme="majorBidi"/>
          <w:sz w:val="24"/>
          <w:szCs w:val="24"/>
        </w:rPr>
        <w:t xml:space="preserve"> cardiac assessment</w:t>
      </w:r>
      <w:r w:rsidRPr="00A808AD">
        <w:rPr>
          <w:rFonts w:asciiTheme="majorBidi" w:hAnsiTheme="majorBidi" w:cstheme="majorBidi"/>
          <w:sz w:val="24"/>
          <w:szCs w:val="24"/>
        </w:rPr>
        <w:t xml:space="preserve">. </w:t>
      </w:r>
      <w:r w:rsidR="00261A83" w:rsidRPr="00A808AD">
        <w:rPr>
          <w:rFonts w:asciiTheme="majorBidi" w:hAnsiTheme="majorBidi" w:cstheme="majorBidi"/>
          <w:sz w:val="24"/>
          <w:szCs w:val="24"/>
        </w:rPr>
        <w:t xml:space="preserve">Patients </w:t>
      </w:r>
      <w:r w:rsidRPr="00A808AD">
        <w:rPr>
          <w:rFonts w:asciiTheme="majorBidi" w:hAnsiTheme="majorBidi" w:cstheme="majorBidi"/>
          <w:sz w:val="24"/>
          <w:szCs w:val="24"/>
        </w:rPr>
        <w:t xml:space="preserve">were </w:t>
      </w:r>
      <w:r w:rsidR="00D6614B" w:rsidRPr="00A808AD">
        <w:rPr>
          <w:rFonts w:asciiTheme="majorBidi" w:hAnsiTheme="majorBidi" w:cstheme="majorBidi"/>
          <w:sz w:val="24"/>
          <w:szCs w:val="24"/>
        </w:rPr>
        <w:t>classified according</w:t>
      </w:r>
      <w:r w:rsidRPr="00A808AD">
        <w:rPr>
          <w:rFonts w:asciiTheme="majorBidi" w:hAnsiTheme="majorBidi" w:cstheme="majorBidi"/>
          <w:sz w:val="24"/>
          <w:szCs w:val="24"/>
        </w:rPr>
        <w:t xml:space="preserve"> to Child-Pugh into 3 </w:t>
      </w:r>
      <w:r w:rsidR="00597ACD" w:rsidRPr="00A808AD">
        <w:rPr>
          <w:rFonts w:asciiTheme="majorBidi" w:hAnsiTheme="majorBidi" w:cstheme="majorBidi"/>
          <w:sz w:val="24"/>
          <w:szCs w:val="24"/>
        </w:rPr>
        <w:t>classes</w:t>
      </w:r>
      <w:r w:rsidRPr="00A808AD">
        <w:rPr>
          <w:rFonts w:asciiTheme="majorBidi" w:hAnsiTheme="majorBidi" w:cstheme="majorBidi"/>
          <w:sz w:val="24"/>
          <w:szCs w:val="24"/>
        </w:rPr>
        <w:t xml:space="preserve">: A, B, and C. </w:t>
      </w:r>
      <w:r w:rsidR="00261A83" w:rsidRPr="00A808AD">
        <w:rPr>
          <w:rFonts w:asciiTheme="majorBidi" w:hAnsiTheme="majorBidi" w:cstheme="majorBidi"/>
          <w:sz w:val="24"/>
          <w:szCs w:val="24"/>
        </w:rPr>
        <w:t>S</w:t>
      </w:r>
      <w:r w:rsidR="0093479A" w:rsidRPr="00A808AD">
        <w:rPr>
          <w:rFonts w:asciiTheme="majorBidi" w:hAnsiTheme="majorBidi" w:cstheme="majorBidi"/>
          <w:sz w:val="24"/>
          <w:szCs w:val="24"/>
        </w:rPr>
        <w:t xml:space="preserve">ixteen </w:t>
      </w:r>
      <w:r w:rsidRPr="00A808AD">
        <w:rPr>
          <w:rFonts w:asciiTheme="majorBidi" w:hAnsiTheme="majorBidi" w:cstheme="majorBidi"/>
          <w:sz w:val="24"/>
          <w:szCs w:val="24"/>
        </w:rPr>
        <w:t xml:space="preserve">healthy </w:t>
      </w:r>
      <w:r w:rsidR="00D6614B" w:rsidRPr="00A808AD">
        <w:rPr>
          <w:rFonts w:asciiTheme="majorBidi" w:hAnsiTheme="majorBidi" w:cstheme="majorBidi"/>
          <w:sz w:val="24"/>
          <w:szCs w:val="24"/>
        </w:rPr>
        <w:t>subjects</w:t>
      </w:r>
      <w:r w:rsidRPr="00A808AD">
        <w:rPr>
          <w:rFonts w:asciiTheme="majorBidi" w:hAnsiTheme="majorBidi" w:cstheme="majorBidi"/>
          <w:sz w:val="24"/>
          <w:szCs w:val="24"/>
        </w:rPr>
        <w:t xml:space="preserve"> were selected as a control group. </w:t>
      </w:r>
      <w:r w:rsidR="00CE48F5">
        <w:rPr>
          <w:rFonts w:asciiTheme="majorBidi" w:hAnsiTheme="majorBidi" w:cstheme="majorBidi"/>
          <w:sz w:val="24"/>
          <w:szCs w:val="24"/>
        </w:rPr>
        <w:t xml:space="preserve">Left ventricular ejection fraction was assessed by volumetric, M-mode and eye ball method. Diastolic function was assessed by E/e’, E/A ratio and mitral E wave deceleration time.  </w:t>
      </w:r>
    </w:p>
    <w:p w:rsidR="00261A83" w:rsidRPr="00A808AD" w:rsidRDefault="00CC6B76" w:rsidP="00A808AD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808AD">
        <w:rPr>
          <w:rFonts w:asciiTheme="majorBidi" w:hAnsiTheme="majorBidi" w:cstheme="majorBidi"/>
          <w:b/>
          <w:bCs/>
          <w:sz w:val="24"/>
          <w:szCs w:val="24"/>
        </w:rPr>
        <w:t xml:space="preserve">Results </w:t>
      </w:r>
    </w:p>
    <w:p w:rsidR="00093C0E" w:rsidRPr="00A808AD" w:rsidRDefault="0030313E" w:rsidP="000051A1">
      <w:pPr>
        <w:autoSpaceDE w:val="0"/>
        <w:autoSpaceDN w:val="0"/>
        <w:bidi w:val="0"/>
        <w:adjustRightInd w:val="0"/>
        <w:spacing w:line="360" w:lineRule="auto"/>
        <w:ind w:right="-334"/>
        <w:jc w:val="both"/>
        <w:rPr>
          <w:rFonts w:asciiTheme="majorBidi" w:hAnsiTheme="majorBidi" w:cstheme="majorBidi"/>
          <w:spacing w:val="-6"/>
          <w:sz w:val="24"/>
          <w:szCs w:val="24"/>
        </w:rPr>
      </w:pPr>
      <w:r w:rsidRPr="00A808AD">
        <w:rPr>
          <w:rFonts w:asciiTheme="majorBidi" w:hAnsiTheme="majorBidi" w:cstheme="majorBidi"/>
          <w:spacing w:val="-6"/>
          <w:sz w:val="24"/>
          <w:szCs w:val="24"/>
        </w:rPr>
        <w:t>The mean age of cirrhotic</w:t>
      </w:r>
      <w:r w:rsidR="0079288C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patients</w:t>
      </w:r>
      <w:r w:rsidRPr="00A808AD">
        <w:rPr>
          <w:rFonts w:asciiTheme="majorBidi" w:hAnsiTheme="majorBidi" w:cstheme="majorBidi"/>
          <w:spacing w:val="-6"/>
          <w:sz w:val="24"/>
          <w:szCs w:val="24"/>
        </w:rPr>
        <w:t xml:space="preserve"> was 55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years, </w:t>
      </w:r>
      <w:r w:rsidRPr="00A808AD">
        <w:rPr>
          <w:rFonts w:asciiTheme="majorBidi" w:hAnsiTheme="majorBidi" w:cstheme="majorBidi"/>
          <w:spacing w:val="-6"/>
          <w:sz w:val="24"/>
          <w:szCs w:val="24"/>
        </w:rPr>
        <w:t>62% of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them were</w:t>
      </w:r>
      <w:r w:rsidR="00DD3ADB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males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. The most </w:t>
      </w:r>
      <w:r w:rsidR="00E06BA2" w:rsidRPr="00A808AD">
        <w:rPr>
          <w:rFonts w:asciiTheme="majorBidi" w:hAnsiTheme="majorBidi" w:cstheme="majorBidi"/>
          <w:sz w:val="24"/>
          <w:szCs w:val="24"/>
        </w:rPr>
        <w:t>prevalent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signs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among these patients </w:t>
      </w:r>
      <w:r w:rsidR="00DD3ADB" w:rsidRPr="00A808AD">
        <w:rPr>
          <w:rFonts w:asciiTheme="majorBidi" w:hAnsiTheme="majorBidi" w:cstheme="majorBidi"/>
          <w:spacing w:val="-6"/>
          <w:sz w:val="24"/>
          <w:szCs w:val="24"/>
        </w:rPr>
        <w:t>were ascites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(97%), wasting (85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%)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and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jaundice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(71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%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)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. </w:t>
      </w:r>
      <w:r w:rsidR="00A030BF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According to Child classification; 6 cases were Child class A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(17%)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, 14 cases were Child class B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(40%) and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15 were Child class C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(43%)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.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B145E8" w:rsidRPr="00A808AD">
        <w:rPr>
          <w:rFonts w:asciiTheme="majorBidi" w:hAnsiTheme="majorBidi" w:cstheme="majorBidi"/>
          <w:spacing w:val="-6"/>
          <w:sz w:val="24"/>
          <w:szCs w:val="24"/>
        </w:rPr>
        <w:t xml:space="preserve">Both the left ventricular end diastolic and systolic dimensions were within normal in both groups (mean = 5.1±0.1versus 5.5± 0.1, </w:t>
      </w:r>
      <w:r w:rsidR="00B145E8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</w:t>
      </w:r>
      <w:r w:rsidR="00B145E8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=0.9 and 3.1± 0.1 versus 3.2± 0.1</w:t>
      </w:r>
      <w:r w:rsidR="00442FC9" w:rsidRPr="00A808AD">
        <w:rPr>
          <w:rFonts w:asciiTheme="majorBidi" w:hAnsiTheme="majorBidi" w:cstheme="majorBidi"/>
          <w:spacing w:val="-6"/>
          <w:sz w:val="24"/>
          <w:szCs w:val="24"/>
        </w:rPr>
        <w:t xml:space="preserve">, </w:t>
      </w:r>
      <w:r w:rsidR="00442FC9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</w:t>
      </w:r>
      <w:r w:rsidR="00B145E8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=0.6 respectively). 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Mean left ventricular ejection fraction was also normal in both 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 xml:space="preserve">groups </w:t>
      </w:r>
      <w:r w:rsidR="00442FC9" w:rsidRPr="00A808AD">
        <w:rPr>
          <w:rFonts w:asciiTheme="majorBidi" w:hAnsiTheme="majorBidi" w:cstheme="majorBidi"/>
          <w:spacing w:val="-6"/>
          <w:sz w:val="24"/>
          <w:szCs w:val="24"/>
        </w:rPr>
        <w:t>(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>mean= 66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sym w:font="Symbol" w:char="F0B1"/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1versus 65.8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sym w:font="Symbol" w:char="F0B1"/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1.4. </w:t>
      </w:r>
      <w:r w:rsidR="00A047A3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P=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0.6).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Compared to the control group, t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he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mitral E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/A ratio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in cirrhotic patients 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was lower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(mean=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0.8 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>versus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1.4±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>0.1</w:t>
      </w:r>
      <w:r w:rsidR="00B145E8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 xml:space="preserve">, </w:t>
      </w:r>
      <w:r w:rsidR="003F4253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&lt;0.001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)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>and had</w:t>
      </w:r>
      <w:r w:rsidR="003627AD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statistically significant correlation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with the severity of </w:t>
      </w:r>
      <w:r w:rsidR="00442FC9" w:rsidRPr="00A808AD">
        <w:rPr>
          <w:rFonts w:asciiTheme="majorBidi" w:hAnsiTheme="majorBidi" w:cstheme="majorBidi"/>
          <w:spacing w:val="-6"/>
          <w:sz w:val="24"/>
          <w:szCs w:val="24"/>
        </w:rPr>
        <w:t>LCF,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>being l</w:t>
      </w:r>
      <w:r w:rsidR="000051A1">
        <w:rPr>
          <w:rFonts w:asciiTheme="majorBidi" w:hAnsiTheme="majorBidi" w:cstheme="majorBidi"/>
          <w:spacing w:val="-6"/>
          <w:sz w:val="24"/>
          <w:szCs w:val="24"/>
        </w:rPr>
        <w:t>east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in Child C class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patients </w:t>
      </w:r>
      <w:r w:rsidR="003F4253" w:rsidRPr="00A808AD">
        <w:rPr>
          <w:rFonts w:asciiTheme="majorBidi" w:hAnsiTheme="majorBidi" w:cstheme="majorBidi"/>
          <w:i/>
          <w:iCs/>
          <w:sz w:val="24"/>
          <w:szCs w:val="24"/>
        </w:rPr>
        <w:t>(</w:t>
      </w:r>
      <w:r w:rsidR="003F4253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</w:t>
      </w:r>
      <w:r w:rsidR="003F4253" w:rsidRPr="00A808AD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E06BA2" w:rsidRPr="00A808AD">
        <w:rPr>
          <w:rFonts w:asciiTheme="majorBidi" w:hAnsiTheme="majorBidi" w:cstheme="majorBidi"/>
          <w:i/>
          <w:iCs/>
          <w:sz w:val="24"/>
          <w:szCs w:val="24"/>
        </w:rPr>
        <w:t>=</w:t>
      </w:r>
      <w:r w:rsidR="00E06BA2" w:rsidRPr="00A808AD">
        <w:rPr>
          <w:rFonts w:asciiTheme="majorBidi" w:hAnsiTheme="majorBidi" w:cstheme="majorBidi"/>
          <w:sz w:val="24"/>
          <w:szCs w:val="24"/>
        </w:rPr>
        <w:t xml:space="preserve">0.0493). </w:t>
      </w:r>
      <w:r w:rsidR="003F4253" w:rsidRPr="00A808AD">
        <w:rPr>
          <w:rFonts w:asciiTheme="majorBidi" w:hAnsiTheme="majorBidi" w:cstheme="majorBidi"/>
          <w:sz w:val="24"/>
          <w:szCs w:val="24"/>
        </w:rPr>
        <w:t>M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itral E wave deceleration time was longer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among cirrhotic patients (mean=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200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±5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>versus 178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± 4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, </w:t>
      </w:r>
      <w:r w:rsidR="00A047A3" w:rsidRPr="00A808AD">
        <w:rPr>
          <w:rFonts w:asciiTheme="majorBidi" w:hAnsiTheme="majorBidi" w:cstheme="majorBidi"/>
          <w:i/>
          <w:iCs/>
          <w:spacing w:val="-6"/>
          <w:sz w:val="24"/>
          <w:szCs w:val="24"/>
        </w:rPr>
        <w:t>P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=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>0.010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 xml:space="preserve"> in controls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 xml:space="preserve">) but not different among Child </w:t>
      </w:r>
      <w:r w:rsidR="00A047A3" w:rsidRPr="00A808AD">
        <w:rPr>
          <w:rFonts w:asciiTheme="majorBidi" w:hAnsiTheme="majorBidi" w:cstheme="majorBidi"/>
          <w:spacing w:val="-6"/>
          <w:sz w:val="24"/>
          <w:szCs w:val="24"/>
        </w:rPr>
        <w:t>classes</w:t>
      </w:r>
      <w:r w:rsidR="003F4253" w:rsidRPr="00A808AD">
        <w:rPr>
          <w:rFonts w:asciiTheme="majorBidi" w:hAnsiTheme="majorBidi" w:cstheme="majorBidi"/>
          <w:spacing w:val="-6"/>
          <w:sz w:val="24"/>
          <w:szCs w:val="24"/>
        </w:rPr>
        <w:t>.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233A85" w:rsidRPr="00A808AD">
        <w:rPr>
          <w:rFonts w:asciiTheme="majorBidi" w:hAnsiTheme="majorBidi" w:cstheme="majorBidi"/>
          <w:spacing w:val="-6"/>
          <w:sz w:val="24"/>
          <w:szCs w:val="24"/>
        </w:rPr>
        <w:t>T</w:t>
      </w:r>
      <w:r w:rsidR="00E06BA2" w:rsidRPr="00A808AD">
        <w:rPr>
          <w:rFonts w:asciiTheme="majorBidi" w:hAnsiTheme="majorBidi" w:cstheme="majorBidi"/>
          <w:spacing w:val="-6"/>
          <w:sz w:val="24"/>
          <w:szCs w:val="24"/>
        </w:rPr>
        <w:t xml:space="preserve">he </w:t>
      </w:r>
      <w:r w:rsidR="00E91855" w:rsidRPr="00A808AD">
        <w:rPr>
          <w:rFonts w:asciiTheme="majorBidi" w:hAnsiTheme="majorBidi" w:cstheme="majorBidi"/>
          <w:spacing w:val="-6"/>
          <w:sz w:val="24"/>
          <w:szCs w:val="24"/>
        </w:rPr>
        <w:t xml:space="preserve">E/e’ ratio was 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>below 8 in both groups</w:t>
      </w:r>
      <w:r w:rsidR="00E91855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(</w:t>
      </w:r>
      <w:r w:rsidR="00442FC9" w:rsidRPr="00A808AD">
        <w:rPr>
          <w:rFonts w:asciiTheme="majorBidi" w:hAnsiTheme="majorBidi" w:cstheme="majorBidi"/>
          <w:spacing w:val="-6"/>
          <w:sz w:val="24"/>
          <w:szCs w:val="24"/>
        </w:rPr>
        <w:t>mean 6.6</w:t>
      </w:r>
      <w:r w:rsidR="00E91855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± 0.4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 xml:space="preserve"> in cirrhotic </w:t>
      </w:r>
      <w:r w:rsidR="00442FC9" w:rsidRPr="00A808AD">
        <w:rPr>
          <w:rFonts w:asciiTheme="majorBidi" w:hAnsiTheme="majorBidi" w:cstheme="majorBidi"/>
          <w:spacing w:val="-6"/>
          <w:sz w:val="24"/>
          <w:szCs w:val="24"/>
        </w:rPr>
        <w:t>compared</w:t>
      </w:r>
      <w:r w:rsidR="00E91855" w:rsidRPr="00A808AD">
        <w:rPr>
          <w:rFonts w:asciiTheme="majorBidi" w:hAnsiTheme="majorBidi" w:cstheme="majorBidi"/>
          <w:spacing w:val="-6"/>
          <w:sz w:val="24"/>
          <w:szCs w:val="24"/>
        </w:rPr>
        <w:t xml:space="preserve"> to 5.9 ± 0.2</w:t>
      </w:r>
      <w:r w:rsidR="00442FC9">
        <w:rPr>
          <w:rFonts w:asciiTheme="majorBidi" w:hAnsiTheme="majorBidi" w:cstheme="majorBidi"/>
          <w:spacing w:val="-6"/>
          <w:sz w:val="24"/>
          <w:szCs w:val="24"/>
        </w:rPr>
        <w:t xml:space="preserve"> in controls</w:t>
      </w:r>
      <w:r w:rsidR="00E91855" w:rsidRPr="00A808AD">
        <w:rPr>
          <w:rFonts w:asciiTheme="majorBidi" w:hAnsiTheme="majorBidi" w:cstheme="majorBidi"/>
          <w:spacing w:val="-6"/>
          <w:sz w:val="24"/>
          <w:szCs w:val="24"/>
        </w:rPr>
        <w:t xml:space="preserve">, P =0.9). </w:t>
      </w:r>
    </w:p>
    <w:p w:rsidR="00670929" w:rsidRDefault="00670929" w:rsidP="00A808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670929" w:rsidRDefault="00670929" w:rsidP="0067092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3448E3" w:rsidRPr="00A808AD" w:rsidRDefault="00CC6B76" w:rsidP="0067092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808AD">
        <w:rPr>
          <w:rFonts w:asciiTheme="majorBidi" w:hAnsiTheme="majorBidi" w:cstheme="majorBidi"/>
          <w:b/>
          <w:bCs/>
          <w:sz w:val="24"/>
          <w:szCs w:val="24"/>
        </w:rPr>
        <w:lastRenderedPageBreak/>
        <w:t>Conclusion</w:t>
      </w:r>
    </w:p>
    <w:p w:rsidR="00A808AD" w:rsidRDefault="00A808AD" w:rsidP="006324B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808AD">
        <w:rPr>
          <w:rFonts w:asciiTheme="majorBidi" w:hAnsiTheme="majorBidi" w:cstheme="majorBidi"/>
          <w:sz w:val="24"/>
          <w:szCs w:val="24"/>
        </w:rPr>
        <w:t>Overt systolic LV function</w:t>
      </w:r>
      <w:r w:rsidR="00442FC9">
        <w:rPr>
          <w:rFonts w:asciiTheme="majorBidi" w:hAnsiTheme="majorBidi" w:cstheme="majorBidi"/>
          <w:sz w:val="24"/>
          <w:szCs w:val="24"/>
        </w:rPr>
        <w:t xml:space="preserve"> as assessed echocardiographically</w:t>
      </w:r>
      <w:r w:rsidRPr="00A808AD">
        <w:rPr>
          <w:rFonts w:asciiTheme="majorBidi" w:hAnsiTheme="majorBidi" w:cstheme="majorBidi"/>
          <w:sz w:val="24"/>
          <w:szCs w:val="24"/>
        </w:rPr>
        <w:t xml:space="preserve"> in patients with non-alcoholic liver cirrhosis complicated by LCF is not affected at rest; mil</w:t>
      </w:r>
      <w:r w:rsidR="00442FC9">
        <w:rPr>
          <w:rFonts w:asciiTheme="majorBidi" w:hAnsiTheme="majorBidi" w:cstheme="majorBidi"/>
          <w:sz w:val="24"/>
          <w:szCs w:val="24"/>
        </w:rPr>
        <w:t>d form of diastolic dysfunction (</w:t>
      </w:r>
      <w:r w:rsidRPr="00A808AD">
        <w:rPr>
          <w:rFonts w:asciiTheme="majorBidi" w:hAnsiTheme="majorBidi" w:cstheme="majorBidi"/>
          <w:sz w:val="24"/>
          <w:szCs w:val="24"/>
        </w:rPr>
        <w:t>impaired relaxation with normal fi</w:t>
      </w:r>
      <w:r w:rsidR="00442FC9">
        <w:rPr>
          <w:rFonts w:asciiTheme="majorBidi" w:hAnsiTheme="majorBidi" w:cstheme="majorBidi"/>
          <w:sz w:val="24"/>
          <w:szCs w:val="24"/>
        </w:rPr>
        <w:t>lling pressures)</w:t>
      </w:r>
      <w:r w:rsidR="00691321">
        <w:rPr>
          <w:rFonts w:asciiTheme="majorBidi" w:hAnsiTheme="majorBidi" w:cstheme="majorBidi"/>
          <w:sz w:val="24"/>
          <w:szCs w:val="24"/>
        </w:rPr>
        <w:t xml:space="preserve"> </w:t>
      </w:r>
      <w:r w:rsidR="00442FC9">
        <w:rPr>
          <w:rFonts w:asciiTheme="majorBidi" w:hAnsiTheme="majorBidi" w:cstheme="majorBidi"/>
          <w:sz w:val="24"/>
          <w:szCs w:val="24"/>
        </w:rPr>
        <w:t>was</w:t>
      </w:r>
      <w:r w:rsidR="00691321">
        <w:rPr>
          <w:rFonts w:asciiTheme="majorBidi" w:hAnsiTheme="majorBidi" w:cstheme="majorBidi"/>
          <w:sz w:val="24"/>
          <w:szCs w:val="24"/>
        </w:rPr>
        <w:t xml:space="preserve"> </w:t>
      </w:r>
      <w:r w:rsidR="006324BD">
        <w:rPr>
          <w:rFonts w:asciiTheme="majorBidi" w:hAnsiTheme="majorBidi" w:cstheme="majorBidi"/>
          <w:sz w:val="24"/>
          <w:szCs w:val="24"/>
        </w:rPr>
        <w:t>detected in patients with a</w:t>
      </w:r>
      <w:bookmarkStart w:id="0" w:name="_GoBack"/>
      <w:bookmarkEnd w:id="0"/>
      <w:r w:rsidR="006324BD">
        <w:rPr>
          <w:rFonts w:asciiTheme="majorBidi" w:hAnsiTheme="majorBidi" w:cstheme="majorBidi"/>
          <w:sz w:val="24"/>
          <w:szCs w:val="24"/>
        </w:rPr>
        <w:t xml:space="preserve">dvanced stage of liver cell failure. </w:t>
      </w:r>
    </w:p>
    <w:p w:rsidR="00E702D2" w:rsidRDefault="00E702D2" w:rsidP="00E702D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02D2" w:rsidRDefault="00E702D2" w:rsidP="00E702D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02D2" w:rsidRDefault="00E702D2" w:rsidP="00E702D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E702D2" w:rsidSect="00C964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549C5"/>
    <w:multiLevelType w:val="hybridMultilevel"/>
    <w:tmpl w:val="AECEB5D0"/>
    <w:lvl w:ilvl="0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/>
  <w:rsids>
    <w:rsidRoot w:val="00CC6B76"/>
    <w:rsid w:val="000051A1"/>
    <w:rsid w:val="0006108A"/>
    <w:rsid w:val="00093C0E"/>
    <w:rsid w:val="00131151"/>
    <w:rsid w:val="00131858"/>
    <w:rsid w:val="001A1830"/>
    <w:rsid w:val="001C28FD"/>
    <w:rsid w:val="00233A85"/>
    <w:rsid w:val="00261A83"/>
    <w:rsid w:val="0030313E"/>
    <w:rsid w:val="003448E3"/>
    <w:rsid w:val="003627AD"/>
    <w:rsid w:val="0038185A"/>
    <w:rsid w:val="003F2FFA"/>
    <w:rsid w:val="003F4253"/>
    <w:rsid w:val="00442FC9"/>
    <w:rsid w:val="0049121A"/>
    <w:rsid w:val="004A1211"/>
    <w:rsid w:val="004A6687"/>
    <w:rsid w:val="005142A4"/>
    <w:rsid w:val="00562D59"/>
    <w:rsid w:val="00597ACD"/>
    <w:rsid w:val="006324BD"/>
    <w:rsid w:val="00670929"/>
    <w:rsid w:val="00691321"/>
    <w:rsid w:val="006E2867"/>
    <w:rsid w:val="0072031D"/>
    <w:rsid w:val="007304E2"/>
    <w:rsid w:val="0079288C"/>
    <w:rsid w:val="007A6025"/>
    <w:rsid w:val="0084419A"/>
    <w:rsid w:val="00882378"/>
    <w:rsid w:val="00893039"/>
    <w:rsid w:val="0093479A"/>
    <w:rsid w:val="00A030BF"/>
    <w:rsid w:val="00A047A3"/>
    <w:rsid w:val="00A12A83"/>
    <w:rsid w:val="00A808AD"/>
    <w:rsid w:val="00A95C1F"/>
    <w:rsid w:val="00B145E8"/>
    <w:rsid w:val="00B928F6"/>
    <w:rsid w:val="00BE703C"/>
    <w:rsid w:val="00C9644E"/>
    <w:rsid w:val="00CB0F7A"/>
    <w:rsid w:val="00CB4A0D"/>
    <w:rsid w:val="00CC6B76"/>
    <w:rsid w:val="00CD550F"/>
    <w:rsid w:val="00CE48F5"/>
    <w:rsid w:val="00D2267D"/>
    <w:rsid w:val="00D2783F"/>
    <w:rsid w:val="00D6614B"/>
    <w:rsid w:val="00DD3ADB"/>
    <w:rsid w:val="00E06BA2"/>
    <w:rsid w:val="00E702D2"/>
    <w:rsid w:val="00E91855"/>
    <w:rsid w:val="00F52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8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نمط2"/>
    <w:basedOn w:val="Normal"/>
    <w:rsid w:val="00E06BA2"/>
    <w:pPr>
      <w:bidi w:val="0"/>
      <w:spacing w:before="120" w:after="0" w:line="360" w:lineRule="auto"/>
      <w:ind w:firstLine="567"/>
    </w:pPr>
    <w:rPr>
      <w:rFonts w:ascii="Times New Roman" w:eastAsia="Times New Roman" w:hAnsi="Times New Roman" w:cs="Simplified Arabic"/>
      <w:bCs/>
      <w:snapToGrid w:val="0"/>
      <w:sz w:val="28"/>
      <w:szCs w:val="28"/>
      <w:lang w:eastAsia="ar-SA"/>
    </w:rPr>
  </w:style>
  <w:style w:type="paragraph" w:styleId="ListParagraph">
    <w:name w:val="List Paragraph"/>
    <w:basedOn w:val="Normal"/>
    <w:qFormat/>
    <w:rsid w:val="00E06BA2"/>
    <w:pPr>
      <w:bidi w:val="0"/>
      <w:ind w:left="720"/>
      <w:contextualSpacing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BA2"/>
    <w:rPr>
      <w:rFonts w:ascii="Tahoma" w:hAnsi="Tahoma" w:cs="Tahoma"/>
      <w:sz w:val="16"/>
      <w:szCs w:val="16"/>
    </w:rPr>
  </w:style>
  <w:style w:type="paragraph" w:customStyle="1" w:styleId="1">
    <w:name w:val="نمط1"/>
    <w:basedOn w:val="Normal"/>
    <w:rsid w:val="0030313E"/>
    <w:pPr>
      <w:widowControl w:val="0"/>
      <w:autoSpaceDE w:val="0"/>
      <w:autoSpaceDN w:val="0"/>
      <w:spacing w:before="120" w:after="0" w:line="240" w:lineRule="auto"/>
      <w:ind w:firstLine="567"/>
    </w:pPr>
    <w:rPr>
      <w:rFonts w:ascii="Times New Roman" w:eastAsia="Calibri" w:hAnsi="Times New Roman" w:cs="Simplified Arabic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702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E702D2"/>
  </w:style>
  <w:style w:type="character" w:customStyle="1" w:styleId="apple-converted-space">
    <w:name w:val="apple-converted-space"/>
    <w:basedOn w:val="DefaultParagraphFont"/>
    <w:rsid w:val="00E702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8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نمط2"/>
    <w:basedOn w:val="Normal"/>
    <w:rsid w:val="00E06BA2"/>
    <w:pPr>
      <w:bidi w:val="0"/>
      <w:spacing w:before="120" w:after="0" w:line="360" w:lineRule="auto"/>
      <w:ind w:firstLine="567"/>
    </w:pPr>
    <w:rPr>
      <w:rFonts w:ascii="Times New Roman" w:eastAsia="Times New Roman" w:hAnsi="Times New Roman" w:cs="Simplified Arabic"/>
      <w:bCs/>
      <w:snapToGrid w:val="0"/>
      <w:sz w:val="28"/>
      <w:szCs w:val="28"/>
      <w:lang w:eastAsia="ar-SA"/>
    </w:rPr>
  </w:style>
  <w:style w:type="paragraph" w:styleId="ListParagraph">
    <w:name w:val="List Paragraph"/>
    <w:basedOn w:val="Normal"/>
    <w:qFormat/>
    <w:rsid w:val="00E06BA2"/>
    <w:pPr>
      <w:bidi w:val="0"/>
      <w:ind w:left="720"/>
      <w:contextualSpacing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BA2"/>
    <w:rPr>
      <w:rFonts w:ascii="Tahoma" w:hAnsi="Tahoma" w:cs="Tahoma"/>
      <w:sz w:val="16"/>
      <w:szCs w:val="16"/>
    </w:rPr>
  </w:style>
  <w:style w:type="paragraph" w:customStyle="1" w:styleId="1">
    <w:name w:val="نمط1"/>
    <w:basedOn w:val="Normal"/>
    <w:rsid w:val="0030313E"/>
    <w:pPr>
      <w:widowControl w:val="0"/>
      <w:autoSpaceDE w:val="0"/>
      <w:autoSpaceDN w:val="0"/>
      <w:spacing w:before="120" w:after="0" w:line="240" w:lineRule="auto"/>
      <w:ind w:firstLine="567"/>
    </w:pPr>
    <w:rPr>
      <w:rFonts w:ascii="Times New Roman" w:eastAsia="Calibri" w:hAnsi="Times New Roman" w:cs="Simplified Arabic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2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</dc:creator>
  <cp:lastModifiedBy>Windows User</cp:lastModifiedBy>
  <cp:revision>5</cp:revision>
  <cp:lastPrinted>2012-04-06T22:15:00Z</cp:lastPrinted>
  <dcterms:created xsi:type="dcterms:W3CDTF">2015-06-23T21:41:00Z</dcterms:created>
  <dcterms:modified xsi:type="dcterms:W3CDTF">2015-08-17T18:47:00Z</dcterms:modified>
</cp:coreProperties>
</file>