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572" w:rsidRPr="00F00572" w:rsidRDefault="00F00572" w:rsidP="00F00572">
      <w:pPr>
        <w:bidi w:val="0"/>
        <w:spacing w:before="100" w:beforeAutospacing="1" w:after="100" w:afterAutospacing="1"/>
        <w:jc w:val="center"/>
        <w:rPr>
          <w:rFonts w:asciiTheme="majorBidi" w:hAnsiTheme="majorBidi" w:cstheme="majorBidi"/>
          <w:b/>
          <w:bCs/>
        </w:rPr>
      </w:pPr>
      <w:r w:rsidRPr="00F00572">
        <w:rPr>
          <w:rFonts w:asciiTheme="majorBidi" w:hAnsiTheme="majorBidi" w:cstheme="majorBidi"/>
          <w:b/>
          <w:bCs/>
          <w:sz w:val="28"/>
          <w:szCs w:val="28"/>
        </w:rPr>
        <w:t xml:space="preserve">Relation between left atrial measurements   </w:t>
      </w:r>
      <w:proofErr w:type="gramStart"/>
      <w:r w:rsidRPr="00F00572">
        <w:rPr>
          <w:rFonts w:asciiTheme="majorBidi" w:hAnsiTheme="majorBidi" w:cstheme="majorBidi"/>
          <w:b/>
          <w:bCs/>
          <w:sz w:val="28"/>
          <w:szCs w:val="28"/>
        </w:rPr>
        <w:t>and  thromboembolic</w:t>
      </w:r>
      <w:proofErr w:type="gramEnd"/>
      <w:r w:rsidRPr="00F00572">
        <w:rPr>
          <w:rFonts w:asciiTheme="majorBidi" w:hAnsiTheme="majorBidi" w:cstheme="majorBidi"/>
          <w:b/>
          <w:bCs/>
          <w:sz w:val="28"/>
          <w:szCs w:val="28"/>
        </w:rPr>
        <w:t xml:space="preserve"> risk markers assessed by echocardiography in patients with non  </w:t>
      </w:r>
      <w:proofErr w:type="spellStart"/>
      <w:r w:rsidRPr="00F00572">
        <w:rPr>
          <w:rFonts w:asciiTheme="majorBidi" w:hAnsiTheme="majorBidi" w:cstheme="majorBidi"/>
          <w:b/>
          <w:bCs/>
          <w:sz w:val="28"/>
          <w:szCs w:val="28"/>
        </w:rPr>
        <w:t>valvular</w:t>
      </w:r>
      <w:proofErr w:type="spellEnd"/>
      <w:r w:rsidRPr="00F00572">
        <w:rPr>
          <w:rFonts w:asciiTheme="majorBidi" w:hAnsiTheme="majorBidi" w:cstheme="majorBidi"/>
          <w:b/>
          <w:bCs/>
          <w:sz w:val="28"/>
          <w:szCs w:val="28"/>
        </w:rPr>
        <w:t xml:space="preserve">  atrial fibrillation: a cross-sectional study</w:t>
      </w:r>
    </w:p>
    <w:p w:rsidR="004C71C9" w:rsidRDefault="007C373C" w:rsidP="004C71C9">
      <w:pPr>
        <w:jc w:val="center"/>
        <w:rPr>
          <w:rFonts w:asciiTheme="majorBidi" w:eastAsia="Times New Roman" w:hAnsiTheme="majorBidi" w:cstheme="majorBidi"/>
          <w:sz w:val="24"/>
          <w:szCs w:val="24"/>
        </w:rPr>
      </w:pPr>
      <w:proofErr w:type="spellStart"/>
      <w:r>
        <w:rPr>
          <w:rFonts w:asciiTheme="majorBidi" w:eastAsia="Times New Roman" w:hAnsiTheme="majorBidi" w:cstheme="majorBidi"/>
        </w:rPr>
        <w:t>Kamel</w:t>
      </w:r>
      <w:proofErr w:type="spellEnd"/>
      <w:r>
        <w:rPr>
          <w:rFonts w:asciiTheme="majorBidi" w:eastAsia="Times New Roman" w:hAnsiTheme="majorBidi" w:cstheme="majorBidi"/>
        </w:rPr>
        <w:t xml:space="preserve"> </w:t>
      </w:r>
      <w:proofErr w:type="gramStart"/>
      <w:r>
        <w:rPr>
          <w:rFonts w:asciiTheme="majorBidi" w:eastAsia="Times New Roman" w:hAnsiTheme="majorBidi" w:cstheme="majorBidi"/>
        </w:rPr>
        <w:t>Ghazal</w:t>
      </w:r>
      <w:r w:rsidR="00F00572" w:rsidRPr="00F00572">
        <w:rPr>
          <w:rFonts w:asciiTheme="majorBidi" w:eastAsia="Times New Roman" w:hAnsiTheme="majorBidi" w:cstheme="majorBidi"/>
        </w:rPr>
        <w:t xml:space="preserve">  MD</w:t>
      </w:r>
      <w:proofErr w:type="gramEnd"/>
      <w:r w:rsidR="004C71C9">
        <w:rPr>
          <w:rFonts w:asciiTheme="majorBidi" w:eastAsia="Times New Roman" w:hAnsiTheme="majorBidi" w:cstheme="majorBidi"/>
        </w:rPr>
        <w:t xml:space="preserve"> </w:t>
      </w:r>
      <w:r w:rsidR="00F00572">
        <w:rPr>
          <w:rFonts w:asciiTheme="majorBidi" w:eastAsia="Times New Roman" w:hAnsiTheme="majorBidi" w:cstheme="majorBidi"/>
        </w:rPr>
        <w:t>,</w:t>
      </w:r>
      <w:r w:rsidR="00F00572" w:rsidRPr="00F00572">
        <w:rPr>
          <w:rFonts w:asciiTheme="majorBidi" w:eastAsia="Times New Roman" w:hAnsiTheme="majorBidi" w:cstheme="majorBidi"/>
          <w:sz w:val="24"/>
          <w:szCs w:val="24"/>
        </w:rPr>
        <w:t xml:space="preserve"> </w:t>
      </w:r>
    </w:p>
    <w:p w:rsidR="00F00572" w:rsidRPr="00220976" w:rsidRDefault="00F00572" w:rsidP="004C71C9">
      <w:pPr>
        <w:jc w:val="center"/>
        <w:rPr>
          <w:rFonts w:asciiTheme="majorBidi" w:hAnsiTheme="majorBidi" w:cstheme="majorBidi" w:hint="cs"/>
          <w:b/>
          <w:bCs/>
          <w:sz w:val="28"/>
          <w:szCs w:val="28"/>
          <w:rtl/>
          <w:lang w:bidi="ar-EG"/>
        </w:rPr>
      </w:pPr>
      <w:bookmarkStart w:id="0" w:name="_GoBack"/>
      <w:bookmarkEnd w:id="0"/>
      <w:proofErr w:type="spellStart"/>
      <w:r w:rsidRPr="00B40034">
        <w:rPr>
          <w:rFonts w:asciiTheme="majorBidi" w:eastAsia="Times New Roman" w:hAnsiTheme="majorBidi" w:cstheme="majorBidi"/>
          <w:sz w:val="24"/>
          <w:szCs w:val="24"/>
        </w:rPr>
        <w:t>Zagazig</w:t>
      </w:r>
      <w:proofErr w:type="spellEnd"/>
      <w:r w:rsidRPr="00B40034">
        <w:rPr>
          <w:rFonts w:asciiTheme="majorBidi" w:eastAsia="Times New Roman" w:hAnsiTheme="majorBidi" w:cstheme="majorBidi"/>
          <w:sz w:val="24"/>
          <w:szCs w:val="24"/>
        </w:rPr>
        <w:t xml:space="preserve"> University,</w:t>
      </w:r>
      <w:r>
        <w:rPr>
          <w:rFonts w:asciiTheme="majorBidi" w:eastAsia="Times New Roman" w:hAnsiTheme="majorBidi" w:cstheme="majorBidi"/>
          <w:sz w:val="24"/>
          <w:szCs w:val="24"/>
        </w:rPr>
        <w:t xml:space="preserve"> </w:t>
      </w:r>
      <w:r w:rsidRPr="00B40034">
        <w:rPr>
          <w:rFonts w:asciiTheme="majorBidi" w:eastAsia="Times New Roman" w:hAnsiTheme="majorBidi" w:cstheme="majorBidi"/>
          <w:sz w:val="24"/>
          <w:szCs w:val="24"/>
        </w:rPr>
        <w:t xml:space="preserve">Faculty </w:t>
      </w:r>
      <w:proofErr w:type="gramStart"/>
      <w:r w:rsidRPr="00B40034">
        <w:rPr>
          <w:rFonts w:asciiTheme="majorBidi" w:eastAsia="Times New Roman" w:hAnsiTheme="majorBidi" w:cstheme="majorBidi"/>
          <w:sz w:val="24"/>
          <w:szCs w:val="24"/>
        </w:rPr>
        <w:t>of  Medicine</w:t>
      </w:r>
      <w:proofErr w:type="gramEnd"/>
      <w:r w:rsidRPr="00B40034">
        <w:rPr>
          <w:rFonts w:asciiTheme="majorBidi" w:eastAsia="Times New Roman" w:hAnsiTheme="majorBidi" w:cstheme="majorBidi"/>
          <w:sz w:val="24"/>
          <w:szCs w:val="24"/>
        </w:rPr>
        <w:t xml:space="preserve">, </w:t>
      </w:r>
      <w:r w:rsidRPr="00220976">
        <w:rPr>
          <w:rFonts w:asciiTheme="majorBidi" w:eastAsia="Times New Roman" w:hAnsiTheme="majorBidi" w:cstheme="majorBidi"/>
          <w:sz w:val="24"/>
          <w:szCs w:val="24"/>
        </w:rPr>
        <w:t xml:space="preserve"> </w:t>
      </w:r>
      <w:proofErr w:type="spellStart"/>
      <w:r w:rsidRPr="00B40034">
        <w:rPr>
          <w:rFonts w:asciiTheme="majorBidi" w:eastAsia="Times New Roman" w:hAnsiTheme="majorBidi" w:cstheme="majorBidi"/>
          <w:sz w:val="24"/>
          <w:szCs w:val="24"/>
        </w:rPr>
        <w:t>Departement</w:t>
      </w:r>
      <w:proofErr w:type="spellEnd"/>
      <w:r w:rsidRPr="00B40034">
        <w:rPr>
          <w:rFonts w:asciiTheme="majorBidi" w:eastAsia="Times New Roman" w:hAnsiTheme="majorBidi" w:cstheme="majorBidi"/>
          <w:sz w:val="24"/>
          <w:szCs w:val="24"/>
        </w:rPr>
        <w:t xml:space="preserve"> of cardiology</w:t>
      </w:r>
    </w:p>
    <w:p w:rsidR="00F00572" w:rsidRPr="00F00572" w:rsidRDefault="00F00572" w:rsidP="00F00572">
      <w:pPr>
        <w:bidi w:val="0"/>
        <w:spacing w:before="100" w:beforeAutospacing="1" w:after="100" w:afterAutospacing="1" w:line="360" w:lineRule="auto"/>
        <w:jc w:val="center"/>
        <w:rPr>
          <w:rFonts w:asciiTheme="majorBidi" w:eastAsia="Times New Roman" w:hAnsiTheme="majorBidi" w:cstheme="majorBidi"/>
          <w:lang w:bidi="ar-EG"/>
        </w:rPr>
      </w:pPr>
    </w:p>
    <w:p w:rsidR="00F00572" w:rsidRPr="00F00572" w:rsidRDefault="00F00572" w:rsidP="00F00572">
      <w:pPr>
        <w:bidi w:val="0"/>
        <w:spacing w:before="100" w:beforeAutospacing="1" w:after="100" w:afterAutospacing="1"/>
        <w:rPr>
          <w:rFonts w:ascii="Times New Roman" w:eastAsia="Times New Roman" w:hAnsi="Times New Roman" w:cs="Times New Roman"/>
          <w:b/>
          <w:bCs/>
          <w:sz w:val="24"/>
          <w:szCs w:val="24"/>
        </w:rPr>
      </w:pPr>
      <w:r w:rsidRPr="00F00572">
        <w:rPr>
          <w:rFonts w:asciiTheme="majorBidi" w:eastAsia="Times New Roman" w:hAnsiTheme="majorBidi" w:cstheme="majorBidi"/>
          <w:b/>
          <w:bCs/>
          <w:sz w:val="24"/>
          <w:szCs w:val="24"/>
        </w:rPr>
        <w:t>Abstract</w:t>
      </w:r>
    </w:p>
    <w:p w:rsidR="00F00572" w:rsidRPr="00F00572" w:rsidRDefault="00F00572" w:rsidP="00F00572">
      <w:pPr>
        <w:bidi w:val="0"/>
        <w:spacing w:before="100" w:beforeAutospacing="1" w:after="100" w:afterAutospacing="1"/>
        <w:jc w:val="both"/>
        <w:rPr>
          <w:rFonts w:ascii="Times New Roman" w:eastAsia="Times New Roman" w:hAnsi="Times New Roman" w:cs="Times New Roman"/>
          <w:b/>
          <w:bCs/>
          <w:sz w:val="24"/>
          <w:szCs w:val="24"/>
        </w:rPr>
      </w:pPr>
      <w:r w:rsidRPr="00F00572">
        <w:rPr>
          <w:rFonts w:ascii="Times New Roman" w:eastAsia="Times New Roman" w:hAnsi="Times New Roman" w:cs="Times New Roman"/>
          <w:b/>
          <w:bCs/>
          <w:sz w:val="24"/>
          <w:szCs w:val="24"/>
        </w:rPr>
        <w:t>Background</w:t>
      </w:r>
    </w:p>
    <w:p w:rsidR="00F00572" w:rsidRPr="00F00572" w:rsidRDefault="00F00572" w:rsidP="00F00572">
      <w:pPr>
        <w:bidi w:val="0"/>
        <w:spacing w:before="100" w:beforeAutospacing="1" w:after="100" w:afterAutospacing="1"/>
        <w:jc w:val="both"/>
        <w:rPr>
          <w:rFonts w:ascii="Times New Roman" w:eastAsia="Times New Roman" w:hAnsi="Times New Roman" w:cs="Times New Roman"/>
          <w:sz w:val="24"/>
          <w:szCs w:val="24"/>
        </w:rPr>
      </w:pPr>
      <w:r w:rsidRPr="00F00572">
        <w:rPr>
          <w:rFonts w:ascii="Times New Roman" w:eastAsia="Times New Roman" w:hAnsi="Times New Roman" w:cs="Times New Roman"/>
          <w:sz w:val="24"/>
          <w:szCs w:val="24"/>
        </w:rPr>
        <w:t>Left atrium (LA) dilatation has been associated with adverse cardiovascular outcomes in patients with sinus rhythm and atrial fibrillation (AF)</w:t>
      </w:r>
      <w:r w:rsidRPr="00F00572">
        <w:rPr>
          <w:rFonts w:ascii="Times New Roman" w:eastAsia="Times New Roman" w:hAnsi="Times New Roman" w:cs="Times New Roman"/>
          <w:b/>
          <w:bCs/>
          <w:sz w:val="24"/>
          <w:szCs w:val="24"/>
        </w:rPr>
        <w:t xml:space="preserve">. </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b/>
          <w:bCs/>
          <w:sz w:val="24"/>
          <w:szCs w:val="24"/>
        </w:rPr>
        <w:t>Aim of the study</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sz w:val="24"/>
          <w:szCs w:val="24"/>
        </w:rPr>
        <w:t xml:space="preserve">We </w:t>
      </w:r>
      <w:proofErr w:type="gramStart"/>
      <w:r w:rsidRPr="00F00572">
        <w:rPr>
          <w:rFonts w:ascii="Times New Roman" w:hAnsi="Times New Roman" w:cs="Times New Roman"/>
          <w:sz w:val="24"/>
          <w:szCs w:val="24"/>
        </w:rPr>
        <w:t>aimed  to</w:t>
      </w:r>
      <w:proofErr w:type="gramEnd"/>
      <w:r w:rsidRPr="00F00572">
        <w:rPr>
          <w:rFonts w:ascii="Times New Roman" w:hAnsi="Times New Roman" w:cs="Times New Roman"/>
          <w:sz w:val="24"/>
          <w:szCs w:val="24"/>
        </w:rPr>
        <w:t xml:space="preserve"> evaluate the accuracy of LA size to predict transesophageal echocardiographic (TEE) markers of increased thromboembolic risk (left atrial appendage (LAA) thrombus, low LAA velocities and dense spontaneous echocardiographic contrast (SEC), and also to assess the best method to evaluate LA size . </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b/>
          <w:bCs/>
          <w:sz w:val="24"/>
          <w:szCs w:val="24"/>
        </w:rPr>
        <w:t>Patients &amp; Methods</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sz w:val="24"/>
          <w:szCs w:val="24"/>
        </w:rPr>
        <w:t xml:space="preserve">Cross sectional study included 64 patients with non </w:t>
      </w:r>
      <w:proofErr w:type="spellStart"/>
      <w:r w:rsidRPr="00F00572">
        <w:rPr>
          <w:rFonts w:ascii="Times New Roman" w:hAnsi="Times New Roman" w:cs="Times New Roman"/>
          <w:sz w:val="24"/>
          <w:szCs w:val="24"/>
        </w:rPr>
        <w:t>valvular</w:t>
      </w:r>
      <w:proofErr w:type="spellEnd"/>
      <w:r w:rsidRPr="00F00572">
        <w:rPr>
          <w:rFonts w:ascii="Times New Roman" w:hAnsi="Times New Roman" w:cs="Times New Roman"/>
          <w:sz w:val="24"/>
          <w:szCs w:val="24"/>
        </w:rPr>
        <w:t xml:space="preserve"> AF undergoing transthoracic and transesophageal echocardiographic (TTE and TEE) evaluation. LA size was measured on TTE by several methods including: anteroposterior diameter (AP), LA area in four and two apical chamber views and volumes by </w:t>
      </w:r>
      <w:proofErr w:type="gramStart"/>
      <w:r w:rsidRPr="00F00572">
        <w:rPr>
          <w:rFonts w:ascii="Times New Roman" w:hAnsi="Times New Roman" w:cs="Times New Roman"/>
          <w:sz w:val="24"/>
          <w:szCs w:val="24"/>
        </w:rPr>
        <w:t>ellipsoid ,</w:t>
      </w:r>
      <w:proofErr w:type="gramEnd"/>
      <w:r w:rsidRPr="00F00572">
        <w:rPr>
          <w:rFonts w:ascii="Times New Roman" w:hAnsi="Times New Roman" w:cs="Times New Roman"/>
          <w:sz w:val="24"/>
          <w:szCs w:val="24"/>
        </w:rPr>
        <w:t xml:space="preserve"> single plane(1P) and biplane area-length (2P)formulas. All these measures were indexed to the body surface area (BSA). Thromboembolic markers including LAA thrombus, low LAA </w:t>
      </w:r>
      <w:proofErr w:type="gramStart"/>
      <w:r w:rsidRPr="00F00572">
        <w:rPr>
          <w:rFonts w:ascii="Times New Roman" w:hAnsi="Times New Roman" w:cs="Times New Roman"/>
          <w:sz w:val="24"/>
          <w:szCs w:val="24"/>
        </w:rPr>
        <w:t>velocities ,</w:t>
      </w:r>
      <w:proofErr w:type="gramEnd"/>
      <w:r w:rsidRPr="00F00572">
        <w:rPr>
          <w:rFonts w:ascii="Times New Roman" w:hAnsi="Times New Roman" w:cs="Times New Roman"/>
          <w:sz w:val="24"/>
          <w:szCs w:val="24"/>
        </w:rPr>
        <w:t xml:space="preserve"> dense SEC and LA abnormality (LA ABN) which means presence of one or more of the previous three parameters were evaluated by TEE. </w:t>
      </w:r>
    </w:p>
    <w:p w:rsidR="00F00572" w:rsidRPr="00F00572" w:rsidRDefault="00F00572" w:rsidP="00F00572">
      <w:pPr>
        <w:autoSpaceDE w:val="0"/>
        <w:autoSpaceDN w:val="0"/>
        <w:bidi w:val="0"/>
        <w:adjustRightInd w:val="0"/>
        <w:spacing w:after="0"/>
        <w:jc w:val="both"/>
        <w:rPr>
          <w:rFonts w:ascii="Times New Roman" w:hAnsi="Times New Roman" w:cs="Times New Roman"/>
          <w:b/>
          <w:bCs/>
          <w:sz w:val="24"/>
          <w:szCs w:val="24"/>
        </w:rPr>
      </w:pPr>
      <w:r w:rsidRPr="00F00572">
        <w:rPr>
          <w:rFonts w:ascii="Times New Roman" w:hAnsi="Times New Roman" w:cs="Times New Roman"/>
          <w:b/>
          <w:bCs/>
          <w:sz w:val="24"/>
          <w:szCs w:val="24"/>
        </w:rPr>
        <w:t>Results</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sz w:val="24"/>
          <w:szCs w:val="24"/>
        </w:rPr>
        <w:t xml:space="preserve">There was statistically significant increase in indexed and non-indexed LA parameters in patients with LA ABN compared to patients without LA ABN. According to ROC curve, the study found that all indexed LA parameters were predictive for LAA thrombus with the highest AUC was indexed LA 1P area length volume (AUC 0.91, CI 95% 0.81-1.01, P&lt; 0.000) ,for LAA low flow velocity were indexed and non-indexed LA AP diameter with the highest AUC was indexed LA AP diameter (AUC 0.89, CI 95% 0.80-0.98, P&lt; 0.000 ) , for LA dense SEC were indexed LA ellipsoid volume (AUC 0.78, CI 95% 0.66-0.96, P  = 0.002) and indexed LA 1P area length volume (AUC 0.78, CI 95% 0.66-0.90, P= 0.002) and for LA ABN were all LA parameters with the highest AUC was indexed LA 1P area length volume (AUC 0.87, CI 95% 0.79-0.96, P &lt; 0.000) . On multivariate logistic regression analysis of TEE </w:t>
      </w:r>
      <w:r w:rsidRPr="00F00572">
        <w:rPr>
          <w:rFonts w:ascii="Times New Roman" w:hAnsi="Times New Roman" w:cs="Times New Roman"/>
          <w:sz w:val="24"/>
          <w:szCs w:val="24"/>
        </w:rPr>
        <w:lastRenderedPageBreak/>
        <w:t>parameters , the study found that the most predictive LA measurement for LAA thrombus was indexed LA AP diameter with cutoff 3 cm/m</w:t>
      </w:r>
      <w:r w:rsidRPr="00F00572">
        <w:rPr>
          <w:rFonts w:ascii="Times New Roman" w:hAnsi="Times New Roman" w:cs="Times New Roman"/>
          <w:sz w:val="24"/>
          <w:szCs w:val="24"/>
          <w:vertAlign w:val="superscript"/>
        </w:rPr>
        <w:t>2</w:t>
      </w:r>
      <w:r w:rsidRPr="00F00572">
        <w:rPr>
          <w:rFonts w:ascii="Times New Roman" w:hAnsi="Times New Roman" w:cs="Times New Roman"/>
          <w:sz w:val="24"/>
          <w:szCs w:val="24"/>
        </w:rPr>
        <w:t xml:space="preserve"> (OR 7.5, 95% CI 1.24-45.2, P  = 0.02), for LAA low flow velocity was LA AP diameter with cutoff 6 cm (OR 17.6, 95% CI 3.23-95.84, P  = 0.001) , for LA dense SEC was indexed LA ellipsoid volume with cutoff 42 cm</w:t>
      </w:r>
      <w:r w:rsidRPr="00F00572">
        <w:rPr>
          <w:rFonts w:ascii="Times New Roman" w:hAnsi="Times New Roman" w:cs="Times New Roman"/>
          <w:sz w:val="24"/>
          <w:szCs w:val="24"/>
          <w:vertAlign w:val="superscript"/>
        </w:rPr>
        <w:t>3</w:t>
      </w:r>
      <w:r w:rsidRPr="00F00572">
        <w:rPr>
          <w:rFonts w:ascii="Times New Roman" w:hAnsi="Times New Roman" w:cs="Times New Roman"/>
          <w:sz w:val="24"/>
          <w:szCs w:val="24"/>
        </w:rPr>
        <w:t>/m</w:t>
      </w:r>
      <w:r w:rsidRPr="00F00572">
        <w:rPr>
          <w:rFonts w:ascii="Times New Roman" w:hAnsi="Times New Roman" w:cs="Times New Roman"/>
          <w:sz w:val="24"/>
          <w:szCs w:val="24"/>
          <w:vertAlign w:val="superscript"/>
        </w:rPr>
        <w:t>2</w:t>
      </w:r>
      <w:r w:rsidRPr="00F00572">
        <w:rPr>
          <w:rFonts w:ascii="Times New Roman" w:hAnsi="Times New Roman" w:cs="Times New Roman"/>
          <w:sz w:val="24"/>
          <w:szCs w:val="24"/>
        </w:rPr>
        <w:t xml:space="preserve"> (OR 6.5, 95% CI 1.32-32.07, P=  0.02) , and for LA ABN was indexed LA ellipsoid volume with cutoff 42 cm</w:t>
      </w:r>
      <w:r w:rsidRPr="00F00572">
        <w:rPr>
          <w:rFonts w:ascii="Times New Roman" w:hAnsi="Times New Roman" w:cs="Times New Roman"/>
          <w:sz w:val="24"/>
          <w:szCs w:val="24"/>
          <w:vertAlign w:val="superscript"/>
        </w:rPr>
        <w:t>3</w:t>
      </w:r>
      <w:r w:rsidRPr="00F00572">
        <w:rPr>
          <w:rFonts w:ascii="Times New Roman" w:hAnsi="Times New Roman" w:cs="Times New Roman"/>
          <w:sz w:val="24"/>
          <w:szCs w:val="24"/>
        </w:rPr>
        <w:t>/m</w:t>
      </w:r>
      <w:r w:rsidRPr="00F00572">
        <w:rPr>
          <w:rFonts w:ascii="Times New Roman" w:hAnsi="Times New Roman" w:cs="Times New Roman"/>
          <w:sz w:val="24"/>
          <w:szCs w:val="24"/>
          <w:vertAlign w:val="superscript"/>
        </w:rPr>
        <w:t>2</w:t>
      </w:r>
      <w:r w:rsidRPr="00F00572">
        <w:rPr>
          <w:rFonts w:ascii="Times New Roman" w:hAnsi="Times New Roman" w:cs="Times New Roman"/>
          <w:sz w:val="24"/>
          <w:szCs w:val="24"/>
        </w:rPr>
        <w:t xml:space="preserve"> (OR 10.45, 95% CI 2.18-51.9, P = 0.008). </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b/>
          <w:bCs/>
          <w:sz w:val="24"/>
          <w:szCs w:val="24"/>
        </w:rPr>
        <w:t xml:space="preserve">Conclusion </w:t>
      </w:r>
    </w:p>
    <w:p w:rsidR="00F00572" w:rsidRPr="00F00572" w:rsidRDefault="00F00572" w:rsidP="00F00572">
      <w:pPr>
        <w:autoSpaceDE w:val="0"/>
        <w:autoSpaceDN w:val="0"/>
        <w:bidi w:val="0"/>
        <w:adjustRightInd w:val="0"/>
        <w:spacing w:after="0"/>
        <w:jc w:val="both"/>
        <w:rPr>
          <w:rFonts w:ascii="Times New Roman" w:hAnsi="Times New Roman" w:cs="Times New Roman"/>
          <w:sz w:val="24"/>
          <w:szCs w:val="24"/>
        </w:rPr>
      </w:pPr>
      <w:r w:rsidRPr="00F00572">
        <w:rPr>
          <w:rFonts w:ascii="Times New Roman" w:hAnsi="Times New Roman" w:cs="Times New Roman"/>
          <w:sz w:val="24"/>
          <w:szCs w:val="24"/>
        </w:rPr>
        <w:t>LA enlargement is suitable to predict thromboembolic markers in patients with non-</w:t>
      </w:r>
      <w:proofErr w:type="spellStart"/>
      <w:r w:rsidRPr="00F00572">
        <w:rPr>
          <w:rFonts w:ascii="Times New Roman" w:hAnsi="Times New Roman" w:cs="Times New Roman"/>
          <w:sz w:val="24"/>
          <w:szCs w:val="24"/>
        </w:rPr>
        <w:t>valvular</w:t>
      </w:r>
      <w:proofErr w:type="spellEnd"/>
      <w:r w:rsidRPr="00F00572">
        <w:rPr>
          <w:rFonts w:ascii="Times New Roman" w:hAnsi="Times New Roman" w:cs="Times New Roman"/>
          <w:sz w:val="24"/>
          <w:szCs w:val="24"/>
        </w:rPr>
        <w:t xml:space="preserve"> AF. The indexed and </w:t>
      </w:r>
      <w:proofErr w:type="spellStart"/>
      <w:r w:rsidRPr="00F00572">
        <w:rPr>
          <w:rFonts w:ascii="Times New Roman" w:hAnsi="Times New Roman" w:cs="Times New Roman"/>
          <w:sz w:val="24"/>
          <w:szCs w:val="24"/>
        </w:rPr>
        <w:t>non indexed</w:t>
      </w:r>
      <w:proofErr w:type="spellEnd"/>
      <w:r w:rsidRPr="00F00572">
        <w:rPr>
          <w:rFonts w:ascii="Times New Roman" w:hAnsi="Times New Roman" w:cs="Times New Roman"/>
          <w:sz w:val="24"/>
          <w:szCs w:val="24"/>
        </w:rPr>
        <w:t xml:space="preserve"> LA AP diameter and indexed LA ellipsoid volume were the most accurate parameters for predicting thromboembolic markers.</w:t>
      </w:r>
    </w:p>
    <w:p w:rsidR="00F00572" w:rsidRDefault="00F00572" w:rsidP="007C373C">
      <w:pPr>
        <w:autoSpaceDE w:val="0"/>
        <w:autoSpaceDN w:val="0"/>
        <w:bidi w:val="0"/>
        <w:adjustRightInd w:val="0"/>
        <w:rPr>
          <w:b/>
        </w:rPr>
      </w:pPr>
      <w:r>
        <w:rPr>
          <w:b/>
          <w:lang w:val="en-NZ"/>
        </w:rPr>
        <w:t xml:space="preserve">Presenting author details                                                                            </w:t>
      </w:r>
      <w:r>
        <w:rPr>
          <w:b/>
          <w:lang w:val="en-NZ"/>
        </w:rPr>
        <w:br/>
      </w:r>
      <w:r>
        <w:rPr>
          <w:lang w:val="en-NZ"/>
        </w:rPr>
        <w:t xml:space="preserve">Full name: </w:t>
      </w:r>
      <w:proofErr w:type="spellStart"/>
      <w:r w:rsidR="007C373C">
        <w:t>Kamel</w:t>
      </w:r>
      <w:proofErr w:type="spellEnd"/>
      <w:r w:rsidR="007C373C">
        <w:t xml:space="preserve"> Ghazal</w:t>
      </w:r>
      <w:r>
        <w:rPr>
          <w:lang w:val="en-NZ"/>
        </w:rPr>
        <w:br/>
        <w:t>Contact number: +2010</w:t>
      </w:r>
      <w:r w:rsidR="007C373C">
        <w:rPr>
          <w:lang w:val="en-NZ"/>
        </w:rPr>
        <w:t>93310207</w:t>
      </w:r>
      <w:r>
        <w:rPr>
          <w:lang w:val="en-NZ"/>
        </w:rPr>
        <w:br/>
        <w:t xml:space="preserve"> Email:</w:t>
      </w:r>
      <w:r>
        <w:rPr>
          <w:b/>
          <w:lang w:val="en-NZ"/>
        </w:rPr>
        <w:t xml:space="preserve"> </w:t>
      </w:r>
      <w:hyperlink r:id="rId5" w:history="1">
        <w:r w:rsidR="004C71C9" w:rsidRPr="00784B24">
          <w:rPr>
            <w:rStyle w:val="Hyperlink"/>
            <w:b/>
            <w:lang w:val="en-NZ"/>
          </w:rPr>
          <w:t>kamelghazal535@yahoo.com</w:t>
        </w:r>
      </w:hyperlink>
    </w:p>
    <w:p w:rsidR="00F00572" w:rsidRPr="00F67BFA" w:rsidRDefault="00F00572" w:rsidP="00F00572">
      <w:pPr>
        <w:autoSpaceDE w:val="0"/>
        <w:autoSpaceDN w:val="0"/>
        <w:bidi w:val="0"/>
        <w:adjustRightInd w:val="0"/>
        <w:rPr>
          <w:b/>
        </w:rPr>
      </w:pPr>
      <w:r>
        <w:rPr>
          <w:b/>
        </w:rPr>
        <w:t>Oral presentation</w:t>
      </w:r>
    </w:p>
    <w:p w:rsidR="00C72494" w:rsidRPr="00F00572" w:rsidRDefault="00F00572" w:rsidP="00F00572">
      <w:pPr>
        <w:rPr>
          <w:rFonts w:hint="cs"/>
          <w:lang w:bidi="ar-EG"/>
        </w:rPr>
      </w:pPr>
      <w:r>
        <w:rPr>
          <w:noProof/>
        </w:rPr>
        <w:drawing>
          <wp:inline distT="0" distB="0" distL="0" distR="0" wp14:anchorId="6D4F7556" wp14:editId="1C555250">
            <wp:extent cx="870508" cy="1089965"/>
            <wp:effectExtent l="0" t="0" r="6350" b="0"/>
            <wp:docPr id="1" name="Picture 1" descr="http://www.newsadmin.zu.edu.eg/uploadedfiles/image/news/download17042016015008P3005201601331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ewsadmin.zu.edu.eg/uploadedfiles/image/news/download17042016015008P30052016013314P.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70517" cy="1089976"/>
                    </a:xfrm>
                    <a:prstGeom prst="rect">
                      <a:avLst/>
                    </a:prstGeom>
                    <a:noFill/>
                    <a:ln>
                      <a:noFill/>
                    </a:ln>
                  </pic:spPr>
                </pic:pic>
              </a:graphicData>
            </a:graphic>
          </wp:inline>
        </w:drawing>
      </w:r>
    </w:p>
    <w:sectPr w:rsidR="00C72494" w:rsidRPr="00F00572" w:rsidSect="0021152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572"/>
    <w:rsid w:val="00211529"/>
    <w:rsid w:val="004146A8"/>
    <w:rsid w:val="004C71C9"/>
    <w:rsid w:val="006D005A"/>
    <w:rsid w:val="007C373C"/>
    <w:rsid w:val="00BF3E4D"/>
    <w:rsid w:val="00DC14C5"/>
    <w:rsid w:val="00F005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57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0572"/>
    <w:rPr>
      <w:color w:val="0000FF" w:themeColor="hyperlink"/>
      <w:u w:val="single"/>
    </w:rPr>
  </w:style>
  <w:style w:type="paragraph" w:styleId="BalloonText">
    <w:name w:val="Balloon Text"/>
    <w:basedOn w:val="Normal"/>
    <w:link w:val="BalloonTextChar"/>
    <w:uiPriority w:val="99"/>
    <w:semiHidden/>
    <w:unhideWhenUsed/>
    <w:rsid w:val="00F00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57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572"/>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0572"/>
    <w:rPr>
      <w:color w:val="0000FF" w:themeColor="hyperlink"/>
      <w:u w:val="single"/>
    </w:rPr>
  </w:style>
  <w:style w:type="paragraph" w:styleId="BalloonText">
    <w:name w:val="Balloon Text"/>
    <w:basedOn w:val="Normal"/>
    <w:link w:val="BalloonTextChar"/>
    <w:uiPriority w:val="99"/>
    <w:semiHidden/>
    <w:unhideWhenUsed/>
    <w:rsid w:val="00F00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5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kamelghazal535@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ABDELRAHMAN</dc:creator>
  <cp:lastModifiedBy>ABDELRAHMAN</cp:lastModifiedBy>
  <cp:revision>2</cp:revision>
  <dcterms:created xsi:type="dcterms:W3CDTF">2016-08-16T21:38:00Z</dcterms:created>
  <dcterms:modified xsi:type="dcterms:W3CDTF">2016-08-16T21:38:00Z</dcterms:modified>
</cp:coreProperties>
</file>