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594" w:rsidRPr="000E3C05" w:rsidRDefault="00BF0594" w:rsidP="00BF0594">
      <w:pPr>
        <w:autoSpaceDE w:val="0"/>
        <w:autoSpaceDN w:val="0"/>
        <w:adjustRightInd w:val="0"/>
        <w:spacing w:after="0" w:line="360" w:lineRule="auto"/>
        <w:jc w:val="center"/>
        <w:rPr>
          <w:rFonts w:asciiTheme="majorBidi" w:hAnsiTheme="majorBidi" w:cstheme="majorBidi"/>
          <w:b/>
          <w:bCs/>
          <w:sz w:val="24"/>
          <w:szCs w:val="24"/>
        </w:rPr>
      </w:pPr>
      <w:r w:rsidRPr="000E3C05">
        <w:rPr>
          <w:rFonts w:asciiTheme="majorBidi" w:hAnsiTheme="majorBidi" w:cstheme="majorBidi"/>
          <w:b/>
          <w:bCs/>
          <w:sz w:val="24"/>
          <w:szCs w:val="24"/>
        </w:rPr>
        <w:t xml:space="preserve">Prognostic value of chronic kidney disease in acute coronary syndrome patients </w:t>
      </w:r>
      <w:proofErr w:type="gramStart"/>
      <w:r w:rsidRPr="000E3C05">
        <w:rPr>
          <w:rFonts w:asciiTheme="majorBidi" w:hAnsiTheme="majorBidi" w:cstheme="majorBidi"/>
          <w:b/>
          <w:bCs/>
          <w:sz w:val="24"/>
          <w:szCs w:val="24"/>
        </w:rPr>
        <w:t>treated  with</w:t>
      </w:r>
      <w:proofErr w:type="gramEnd"/>
      <w:r w:rsidRPr="000E3C05">
        <w:rPr>
          <w:rFonts w:asciiTheme="majorBidi" w:hAnsiTheme="majorBidi" w:cstheme="majorBidi"/>
          <w:b/>
          <w:bCs/>
          <w:sz w:val="24"/>
          <w:szCs w:val="24"/>
        </w:rPr>
        <w:t xml:space="preserve"> percutaneous coronary intervention</w:t>
      </w:r>
    </w:p>
    <w:p w:rsidR="00BF0594" w:rsidRDefault="00BF0594" w:rsidP="00BF0594">
      <w:pPr>
        <w:keepNext/>
        <w:keepLines/>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rsidR="00BF0594" w:rsidRDefault="00BF0594" w:rsidP="00BF0594">
      <w:pPr>
        <w:keepNext/>
        <w:keepLines/>
        <w:spacing w:line="36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By</w:t>
      </w:r>
    </w:p>
    <w:p w:rsidR="00BF0594" w:rsidRPr="000E3C05" w:rsidRDefault="00BF0594" w:rsidP="00BF0594">
      <w:pPr>
        <w:pStyle w:val="ListParagraph"/>
        <w:keepNext/>
        <w:keepLines/>
        <w:spacing w:line="480" w:lineRule="auto"/>
        <w:rPr>
          <w:rFonts w:asciiTheme="majorBidi" w:hAnsiTheme="majorBidi" w:cstheme="majorBidi"/>
          <w:b/>
          <w:bCs/>
          <w:i/>
          <w:iCs/>
          <w:sz w:val="24"/>
          <w:szCs w:val="24"/>
        </w:rPr>
      </w:pPr>
      <w:proofErr w:type="spellStart"/>
      <w:r w:rsidRPr="000E3C05">
        <w:rPr>
          <w:rFonts w:asciiTheme="majorBidi" w:hAnsiTheme="majorBidi" w:cstheme="majorBidi"/>
          <w:b/>
          <w:bCs/>
          <w:sz w:val="24"/>
          <w:szCs w:val="24"/>
        </w:rPr>
        <w:t>Hanan</w:t>
      </w:r>
      <w:proofErr w:type="spellEnd"/>
      <w:r w:rsidRPr="000E3C05">
        <w:rPr>
          <w:rFonts w:asciiTheme="majorBidi" w:hAnsiTheme="majorBidi" w:cstheme="majorBidi"/>
          <w:b/>
          <w:bCs/>
          <w:sz w:val="24"/>
          <w:szCs w:val="24"/>
        </w:rPr>
        <w:t xml:space="preserve"> </w:t>
      </w:r>
      <w:proofErr w:type="spellStart"/>
      <w:r w:rsidRPr="000E3C05">
        <w:rPr>
          <w:rFonts w:asciiTheme="majorBidi" w:hAnsiTheme="majorBidi" w:cstheme="majorBidi"/>
          <w:b/>
          <w:bCs/>
          <w:sz w:val="24"/>
          <w:szCs w:val="24"/>
        </w:rPr>
        <w:t>Radwan</w:t>
      </w:r>
      <w:proofErr w:type="spellEnd"/>
      <w:r w:rsidRPr="000E3C05">
        <w:rPr>
          <w:rFonts w:asciiTheme="majorBidi" w:hAnsiTheme="majorBidi" w:cstheme="majorBidi"/>
          <w:b/>
          <w:bCs/>
          <w:sz w:val="24"/>
          <w:szCs w:val="24"/>
        </w:rPr>
        <w:t>*</w:t>
      </w:r>
      <w:r w:rsidRPr="000E3C05">
        <w:rPr>
          <w:rFonts w:asciiTheme="majorBidi" w:hAnsiTheme="majorBidi" w:cstheme="majorBidi"/>
          <w:b/>
          <w:bCs/>
          <w:sz w:val="24"/>
          <w:szCs w:val="24"/>
          <w:vertAlign w:val="superscript"/>
        </w:rPr>
        <w:t>1</w:t>
      </w:r>
      <w:r>
        <w:rPr>
          <w:rFonts w:asciiTheme="majorBidi" w:hAnsiTheme="majorBidi" w:cstheme="majorBidi"/>
          <w:b/>
          <w:bCs/>
          <w:sz w:val="24"/>
          <w:szCs w:val="24"/>
          <w:vertAlign w:val="superscript"/>
        </w:rPr>
        <w:t xml:space="preserve"> </w:t>
      </w:r>
      <w:r>
        <w:rPr>
          <w:rFonts w:asciiTheme="majorBidi" w:hAnsiTheme="majorBidi" w:cstheme="majorBidi"/>
          <w:b/>
          <w:bCs/>
          <w:sz w:val="24"/>
          <w:szCs w:val="24"/>
        </w:rPr>
        <w:t>MD,</w:t>
      </w:r>
      <w:r w:rsidRPr="000E3C05">
        <w:rPr>
          <w:rFonts w:asciiTheme="majorBidi" w:hAnsiTheme="majorBidi" w:cstheme="majorBidi"/>
          <w:b/>
          <w:bCs/>
          <w:sz w:val="24"/>
          <w:szCs w:val="24"/>
        </w:rPr>
        <w:t xml:space="preserve"> </w:t>
      </w:r>
      <w:proofErr w:type="spellStart"/>
      <w:r w:rsidRPr="000E3C05">
        <w:rPr>
          <w:rFonts w:asciiTheme="majorBidi" w:hAnsiTheme="majorBidi" w:cstheme="majorBidi"/>
          <w:b/>
          <w:bCs/>
          <w:sz w:val="24"/>
          <w:szCs w:val="24"/>
        </w:rPr>
        <w:t>Abdelhakem</w:t>
      </w:r>
      <w:proofErr w:type="spellEnd"/>
      <w:r w:rsidRPr="000E3C05">
        <w:rPr>
          <w:rFonts w:asciiTheme="majorBidi" w:hAnsiTheme="majorBidi" w:cstheme="majorBidi"/>
          <w:b/>
          <w:bCs/>
          <w:sz w:val="24"/>
          <w:szCs w:val="24"/>
        </w:rPr>
        <w:t xml:space="preserve"> Selem</w:t>
      </w:r>
      <w:r>
        <w:rPr>
          <w:rFonts w:asciiTheme="majorBidi" w:hAnsiTheme="majorBidi" w:cstheme="majorBidi"/>
          <w:b/>
          <w:bCs/>
          <w:sz w:val="24"/>
          <w:szCs w:val="24"/>
          <w:vertAlign w:val="superscript"/>
        </w:rPr>
        <w:t>1</w:t>
      </w: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MD</w:t>
      </w:r>
      <w:proofErr w:type="gramStart"/>
      <w:r>
        <w:rPr>
          <w:rFonts w:asciiTheme="majorBidi" w:hAnsiTheme="majorBidi" w:cstheme="majorBidi"/>
          <w:b/>
          <w:bCs/>
          <w:sz w:val="24"/>
          <w:szCs w:val="24"/>
        </w:rPr>
        <w:t>,</w:t>
      </w:r>
      <w:r w:rsidRPr="000E3C05">
        <w:rPr>
          <w:rFonts w:asciiTheme="majorBidi" w:hAnsiTheme="majorBidi" w:cstheme="majorBidi"/>
          <w:b/>
          <w:bCs/>
          <w:sz w:val="24"/>
          <w:szCs w:val="24"/>
        </w:rPr>
        <w:t>Yaser</w:t>
      </w:r>
      <w:proofErr w:type="spellEnd"/>
      <w:proofErr w:type="gramEnd"/>
      <w:r w:rsidRPr="000E3C05">
        <w:rPr>
          <w:rFonts w:asciiTheme="majorBidi" w:hAnsiTheme="majorBidi" w:cstheme="majorBidi"/>
          <w:b/>
          <w:bCs/>
          <w:sz w:val="24"/>
          <w:szCs w:val="24"/>
        </w:rPr>
        <w:t xml:space="preserve"> Ammar</w:t>
      </w:r>
      <w:r>
        <w:rPr>
          <w:rFonts w:asciiTheme="majorBidi" w:hAnsiTheme="majorBidi" w:cstheme="majorBidi"/>
          <w:b/>
          <w:bCs/>
          <w:sz w:val="24"/>
          <w:szCs w:val="24"/>
          <w:vertAlign w:val="superscript"/>
        </w:rPr>
        <w:t>2</w:t>
      </w:r>
      <w:r>
        <w:rPr>
          <w:rFonts w:asciiTheme="majorBidi" w:hAnsiTheme="majorBidi" w:cstheme="majorBidi"/>
          <w:b/>
          <w:bCs/>
          <w:sz w:val="24"/>
          <w:szCs w:val="24"/>
        </w:rPr>
        <w:t xml:space="preserve"> MD,</w:t>
      </w:r>
      <w:r w:rsidRPr="000E3C05">
        <w:rPr>
          <w:rFonts w:asciiTheme="majorBidi" w:hAnsiTheme="majorBidi" w:cstheme="majorBidi"/>
          <w:b/>
          <w:bCs/>
          <w:sz w:val="24"/>
          <w:szCs w:val="24"/>
        </w:rPr>
        <w:t xml:space="preserve">  </w:t>
      </w:r>
      <w:proofErr w:type="spellStart"/>
      <w:r w:rsidRPr="000E3C05">
        <w:rPr>
          <w:rFonts w:asciiTheme="majorBidi" w:hAnsiTheme="majorBidi" w:cstheme="majorBidi"/>
          <w:b/>
          <w:bCs/>
          <w:sz w:val="24"/>
          <w:szCs w:val="24"/>
        </w:rPr>
        <w:t>Kamel</w:t>
      </w:r>
      <w:proofErr w:type="spellEnd"/>
      <w:r w:rsidRPr="000E3C05">
        <w:rPr>
          <w:rFonts w:asciiTheme="majorBidi" w:hAnsiTheme="majorBidi" w:cstheme="majorBidi"/>
          <w:b/>
          <w:bCs/>
          <w:sz w:val="24"/>
          <w:szCs w:val="24"/>
        </w:rPr>
        <w:t xml:space="preserve"> Ghazal.</w:t>
      </w:r>
      <w:r>
        <w:rPr>
          <w:rFonts w:asciiTheme="majorBidi" w:hAnsiTheme="majorBidi" w:cstheme="majorBidi"/>
          <w:b/>
          <w:bCs/>
          <w:sz w:val="24"/>
          <w:szCs w:val="24"/>
          <w:vertAlign w:val="superscript"/>
        </w:rPr>
        <w:t>1</w:t>
      </w:r>
      <w:r>
        <w:rPr>
          <w:rFonts w:asciiTheme="majorBidi" w:hAnsiTheme="majorBidi" w:cstheme="majorBidi"/>
          <w:b/>
          <w:bCs/>
          <w:i/>
          <w:iCs/>
          <w:sz w:val="24"/>
          <w:szCs w:val="24"/>
        </w:rPr>
        <w:t xml:space="preserve"> </w:t>
      </w:r>
      <w:r w:rsidRPr="000E3C05">
        <w:rPr>
          <w:rFonts w:asciiTheme="majorBidi" w:hAnsiTheme="majorBidi" w:cstheme="majorBidi"/>
          <w:b/>
          <w:bCs/>
          <w:sz w:val="24"/>
          <w:szCs w:val="24"/>
        </w:rPr>
        <w:t>MD</w:t>
      </w:r>
    </w:p>
    <w:p w:rsidR="00BF0594" w:rsidRPr="000E3C05" w:rsidRDefault="00BF0594" w:rsidP="00BF0594">
      <w:pPr>
        <w:pStyle w:val="ListParagraph"/>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1</w:t>
      </w:r>
      <w:r w:rsidRPr="000E3C05">
        <w:rPr>
          <w:rFonts w:asciiTheme="majorBidi" w:hAnsiTheme="majorBidi" w:cstheme="majorBidi"/>
          <w:sz w:val="24"/>
          <w:szCs w:val="24"/>
        </w:rPr>
        <w:t xml:space="preserve"> Cardiology </w:t>
      </w:r>
      <w:proofErr w:type="gramStart"/>
      <w:r w:rsidRPr="000E3C05">
        <w:rPr>
          <w:rFonts w:asciiTheme="majorBidi" w:hAnsiTheme="majorBidi" w:cstheme="majorBidi"/>
          <w:sz w:val="24"/>
          <w:szCs w:val="24"/>
        </w:rPr>
        <w:t>Department ,</w:t>
      </w:r>
      <w:proofErr w:type="gramEnd"/>
      <w:r w:rsidRPr="000E3C05">
        <w:rPr>
          <w:rFonts w:asciiTheme="majorBidi" w:hAnsiTheme="majorBidi" w:cstheme="majorBidi"/>
          <w:sz w:val="24"/>
          <w:szCs w:val="24"/>
        </w:rPr>
        <w:t xml:space="preserve"> Faculty of Medicine , </w:t>
      </w:r>
      <w:proofErr w:type="spellStart"/>
      <w:r w:rsidRPr="000E3C05">
        <w:rPr>
          <w:rFonts w:asciiTheme="majorBidi" w:hAnsiTheme="majorBidi" w:cstheme="majorBidi"/>
          <w:sz w:val="24"/>
          <w:szCs w:val="24"/>
        </w:rPr>
        <w:t>Zagazig</w:t>
      </w:r>
      <w:proofErr w:type="spellEnd"/>
      <w:r w:rsidRPr="000E3C05">
        <w:rPr>
          <w:rFonts w:asciiTheme="majorBidi" w:hAnsiTheme="majorBidi" w:cstheme="majorBidi"/>
          <w:sz w:val="24"/>
          <w:szCs w:val="24"/>
        </w:rPr>
        <w:t xml:space="preserve"> University, </w:t>
      </w:r>
      <w:proofErr w:type="spellStart"/>
      <w:r w:rsidRPr="000E3C05">
        <w:rPr>
          <w:rFonts w:asciiTheme="majorBidi" w:hAnsiTheme="majorBidi" w:cstheme="majorBidi"/>
          <w:sz w:val="24"/>
          <w:szCs w:val="24"/>
        </w:rPr>
        <w:t>Zagazig</w:t>
      </w:r>
      <w:proofErr w:type="spellEnd"/>
    </w:p>
    <w:p w:rsidR="00BF0594" w:rsidRDefault="00BF0594" w:rsidP="00BF0594">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w:r w:rsidRPr="000E3C05">
        <w:rPr>
          <w:rFonts w:asciiTheme="majorBidi" w:hAnsiTheme="majorBidi" w:cstheme="majorBidi"/>
          <w:sz w:val="24"/>
          <w:szCs w:val="24"/>
        </w:rPr>
        <w:t xml:space="preserve">Egypt, </w:t>
      </w:r>
      <w:r>
        <w:rPr>
          <w:rFonts w:asciiTheme="majorBidi" w:hAnsiTheme="majorBidi" w:cstheme="majorBidi"/>
          <w:sz w:val="24"/>
          <w:szCs w:val="24"/>
        </w:rPr>
        <w:t xml:space="preserve"> </w:t>
      </w:r>
    </w:p>
    <w:p w:rsidR="00BF0594" w:rsidRPr="000E3C05" w:rsidRDefault="00BF0594" w:rsidP="00BF0594">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sz w:val="24"/>
          <w:szCs w:val="24"/>
        </w:rPr>
        <w:t xml:space="preserve">            </w:t>
      </w:r>
      <w:r w:rsidRPr="000E3C05">
        <w:rPr>
          <w:rFonts w:asciiTheme="majorBidi" w:hAnsiTheme="majorBidi" w:cstheme="majorBidi"/>
          <w:sz w:val="24"/>
          <w:szCs w:val="24"/>
        </w:rPr>
        <w:t>2. Medical Research Institute, Alexandria University.</w:t>
      </w:r>
    </w:p>
    <w:p w:rsidR="00BF0594" w:rsidRPr="000E3C05" w:rsidRDefault="00BF0594" w:rsidP="00BF0594">
      <w:pPr>
        <w:autoSpaceDE w:val="0"/>
        <w:autoSpaceDN w:val="0"/>
        <w:adjustRightInd w:val="0"/>
        <w:spacing w:after="0" w:line="360" w:lineRule="auto"/>
        <w:rPr>
          <w:rFonts w:asciiTheme="majorBidi" w:hAnsiTheme="majorBidi" w:cstheme="majorBidi"/>
          <w:b/>
          <w:bCs/>
          <w:sz w:val="24"/>
          <w:szCs w:val="24"/>
        </w:rPr>
      </w:pPr>
      <w:r w:rsidRPr="000E3C05">
        <w:rPr>
          <w:rFonts w:asciiTheme="majorBidi" w:hAnsiTheme="majorBidi" w:cstheme="majorBidi"/>
          <w:b/>
          <w:bCs/>
          <w:sz w:val="24"/>
          <w:szCs w:val="24"/>
        </w:rPr>
        <w:t>Abstract</w:t>
      </w:r>
    </w:p>
    <w:p w:rsidR="00BF0594" w:rsidRPr="000E3C05" w:rsidRDefault="00BF0594" w:rsidP="00BF0594">
      <w:pPr>
        <w:autoSpaceDE w:val="0"/>
        <w:autoSpaceDN w:val="0"/>
        <w:adjustRightInd w:val="0"/>
        <w:spacing w:after="0" w:line="360" w:lineRule="auto"/>
        <w:rPr>
          <w:rFonts w:asciiTheme="majorBidi" w:hAnsiTheme="majorBidi" w:cstheme="majorBidi"/>
          <w:sz w:val="24"/>
          <w:szCs w:val="24"/>
        </w:rPr>
      </w:pPr>
      <w:proofErr w:type="spellStart"/>
      <w:r w:rsidRPr="000E3C05">
        <w:rPr>
          <w:rFonts w:asciiTheme="majorBidi" w:hAnsiTheme="majorBidi" w:cstheme="majorBidi"/>
          <w:b/>
          <w:bCs/>
          <w:sz w:val="24"/>
          <w:szCs w:val="24"/>
        </w:rPr>
        <w:t>Background</w:t>
      </w:r>
      <w:proofErr w:type="gramStart"/>
      <w:r w:rsidRPr="000E3C05">
        <w:rPr>
          <w:rFonts w:asciiTheme="majorBidi" w:hAnsiTheme="majorBidi" w:cstheme="majorBidi"/>
          <w:sz w:val="24"/>
          <w:szCs w:val="24"/>
        </w:rPr>
        <w:t>:Although</w:t>
      </w:r>
      <w:proofErr w:type="spellEnd"/>
      <w:proofErr w:type="gramEnd"/>
      <w:r w:rsidRPr="000E3C05">
        <w:rPr>
          <w:rFonts w:asciiTheme="majorBidi" w:hAnsiTheme="majorBidi" w:cstheme="majorBidi"/>
          <w:sz w:val="24"/>
          <w:szCs w:val="24"/>
        </w:rPr>
        <w:t xml:space="preserve"> chronic kidney disease (CKD) is an independent predictor of major adverse cardiac events (MACE) in patients with ACS, the impact of CKD on outcome and medication utilization in such patients is apparently underappreciated. We aim to study the impact of chronic kidney disease on short and long term outcome </w:t>
      </w:r>
      <w:proofErr w:type="gramStart"/>
      <w:r w:rsidRPr="000E3C05">
        <w:rPr>
          <w:rFonts w:asciiTheme="majorBidi" w:hAnsiTheme="majorBidi" w:cstheme="majorBidi"/>
          <w:sz w:val="24"/>
          <w:szCs w:val="24"/>
        </w:rPr>
        <w:t>of  PCI</w:t>
      </w:r>
      <w:proofErr w:type="gramEnd"/>
      <w:r w:rsidRPr="000E3C05">
        <w:rPr>
          <w:rFonts w:asciiTheme="majorBidi" w:hAnsiTheme="majorBidi" w:cstheme="majorBidi"/>
          <w:sz w:val="24"/>
          <w:szCs w:val="24"/>
        </w:rPr>
        <w:t xml:space="preserve"> in patients with ACS.</w:t>
      </w:r>
    </w:p>
    <w:p w:rsidR="00BF0594" w:rsidRPr="000E3C05" w:rsidRDefault="00BF0594" w:rsidP="00BF0594">
      <w:pPr>
        <w:autoSpaceDE w:val="0"/>
        <w:autoSpaceDN w:val="0"/>
        <w:adjustRightInd w:val="0"/>
        <w:spacing w:after="0" w:line="360" w:lineRule="auto"/>
        <w:rPr>
          <w:rFonts w:asciiTheme="majorBidi" w:hAnsiTheme="majorBidi" w:cstheme="majorBidi"/>
          <w:sz w:val="24"/>
          <w:szCs w:val="24"/>
        </w:rPr>
      </w:pPr>
      <w:r w:rsidRPr="000E3C05">
        <w:rPr>
          <w:rFonts w:asciiTheme="majorBidi" w:hAnsiTheme="majorBidi" w:cstheme="majorBidi"/>
          <w:b/>
          <w:bCs/>
          <w:sz w:val="24"/>
          <w:szCs w:val="24"/>
        </w:rPr>
        <w:t>Methods:</w:t>
      </w:r>
      <w:r w:rsidRPr="000E3C05">
        <w:rPr>
          <w:rFonts w:asciiTheme="majorBidi" w:hAnsiTheme="majorBidi" w:cstheme="majorBidi"/>
          <w:sz w:val="24"/>
          <w:szCs w:val="24"/>
        </w:rPr>
        <w:t xml:space="preserve"> 427 patients presenting with ACS and treated within 24 hours with PCI were subjected to ECG, echocardiography and repeat measurements of </w:t>
      </w:r>
      <w:proofErr w:type="spellStart"/>
      <w:r w:rsidRPr="000E3C05">
        <w:rPr>
          <w:rFonts w:asciiTheme="majorBidi" w:hAnsiTheme="majorBidi" w:cstheme="majorBidi"/>
          <w:sz w:val="24"/>
          <w:szCs w:val="24"/>
        </w:rPr>
        <w:t>cTNI</w:t>
      </w:r>
      <w:proofErr w:type="spellEnd"/>
      <w:r w:rsidRPr="000E3C05">
        <w:rPr>
          <w:rFonts w:asciiTheme="majorBidi" w:hAnsiTheme="majorBidi" w:cstheme="majorBidi"/>
          <w:sz w:val="24"/>
          <w:szCs w:val="24"/>
        </w:rPr>
        <w:t xml:space="preserve"> and CK-MB. They were classified into 4 groups (normal renal function, mild, moderate and severe renal impairment) based on </w:t>
      </w:r>
      <w:proofErr w:type="gramStart"/>
      <w:r w:rsidRPr="000E3C05">
        <w:rPr>
          <w:rFonts w:asciiTheme="majorBidi" w:hAnsiTheme="majorBidi" w:cstheme="majorBidi"/>
          <w:sz w:val="24"/>
          <w:szCs w:val="24"/>
        </w:rPr>
        <w:t>estimated  creatinine</w:t>
      </w:r>
      <w:proofErr w:type="gramEnd"/>
      <w:r w:rsidRPr="000E3C05">
        <w:rPr>
          <w:rFonts w:asciiTheme="majorBidi" w:hAnsiTheme="majorBidi" w:cstheme="majorBidi"/>
          <w:sz w:val="24"/>
          <w:szCs w:val="24"/>
        </w:rPr>
        <w:t xml:space="preserve"> clearance (</w:t>
      </w:r>
      <w:proofErr w:type="spellStart"/>
      <w:r w:rsidRPr="000E3C05">
        <w:rPr>
          <w:rFonts w:asciiTheme="majorBidi" w:hAnsiTheme="majorBidi" w:cstheme="majorBidi"/>
          <w:sz w:val="24"/>
          <w:szCs w:val="24"/>
        </w:rPr>
        <w:t>eCrCl</w:t>
      </w:r>
      <w:proofErr w:type="spellEnd"/>
      <w:r w:rsidRPr="000E3C05">
        <w:rPr>
          <w:rFonts w:asciiTheme="majorBidi" w:hAnsiTheme="majorBidi" w:cstheme="majorBidi"/>
          <w:sz w:val="24"/>
          <w:szCs w:val="24"/>
        </w:rPr>
        <w:t>). MACE including death, new myocardial infarction (MI) and target vessel revascularization (TVR) were reported as early (during initial hospital stay and within one month from PCI) or late (during the follow up, which was done monthly or as indicated, for an average of 49 months).</w:t>
      </w:r>
    </w:p>
    <w:p w:rsidR="00BF0594" w:rsidRPr="000E3C05" w:rsidRDefault="00BF0594" w:rsidP="00BF0594">
      <w:pPr>
        <w:autoSpaceDE w:val="0"/>
        <w:autoSpaceDN w:val="0"/>
        <w:adjustRightInd w:val="0"/>
        <w:spacing w:after="0" w:line="360" w:lineRule="auto"/>
        <w:rPr>
          <w:rFonts w:asciiTheme="majorBidi" w:hAnsiTheme="majorBidi" w:cstheme="majorBidi"/>
          <w:sz w:val="24"/>
          <w:szCs w:val="24"/>
        </w:rPr>
      </w:pPr>
      <w:r w:rsidRPr="000E3C05">
        <w:rPr>
          <w:rFonts w:asciiTheme="majorBidi" w:hAnsiTheme="majorBidi" w:cstheme="majorBidi"/>
          <w:b/>
          <w:bCs/>
          <w:sz w:val="24"/>
          <w:szCs w:val="24"/>
        </w:rPr>
        <w:t>Results:</w:t>
      </w:r>
      <w:r w:rsidRPr="000E3C05">
        <w:rPr>
          <w:rFonts w:asciiTheme="majorBidi" w:hAnsiTheme="majorBidi" w:cstheme="majorBidi"/>
          <w:sz w:val="24"/>
          <w:szCs w:val="24"/>
        </w:rPr>
        <w:t xml:space="preserve"> There was no statistically significant difference between the 4 study groups regarding sex, frequency of diabetes, hypertension, dyslipidemia, duration of follow up and maximum levels of </w:t>
      </w:r>
      <w:proofErr w:type="spellStart"/>
      <w:r w:rsidRPr="000E3C05">
        <w:rPr>
          <w:rFonts w:asciiTheme="majorBidi" w:hAnsiTheme="majorBidi" w:cstheme="majorBidi"/>
          <w:sz w:val="24"/>
          <w:szCs w:val="24"/>
        </w:rPr>
        <w:t>cTNI</w:t>
      </w:r>
      <w:proofErr w:type="spellEnd"/>
      <w:r w:rsidRPr="000E3C05">
        <w:rPr>
          <w:rFonts w:asciiTheme="majorBidi" w:hAnsiTheme="majorBidi" w:cstheme="majorBidi"/>
          <w:sz w:val="24"/>
          <w:szCs w:val="24"/>
        </w:rPr>
        <w:t xml:space="preserve"> and CK-MB before and after PCI. Patients with more severe renal impairment (RI) had significantly higher number of vessels affected, lower grade of culprit artery TIMI flow, lower percent dilatation of culprit lesion following PCI, less frequent use of </w:t>
      </w:r>
      <w:proofErr w:type="spellStart"/>
      <w:r w:rsidRPr="000E3C05">
        <w:rPr>
          <w:rFonts w:asciiTheme="majorBidi" w:hAnsiTheme="majorBidi" w:cstheme="majorBidi"/>
          <w:sz w:val="24"/>
          <w:szCs w:val="24"/>
        </w:rPr>
        <w:t>GPIIb</w:t>
      </w:r>
      <w:proofErr w:type="spellEnd"/>
      <w:r w:rsidRPr="000E3C05">
        <w:rPr>
          <w:rFonts w:asciiTheme="majorBidi" w:hAnsiTheme="majorBidi" w:cstheme="majorBidi"/>
          <w:sz w:val="24"/>
          <w:szCs w:val="24"/>
        </w:rPr>
        <w:t>/</w:t>
      </w:r>
      <w:proofErr w:type="spellStart"/>
      <w:r w:rsidRPr="000E3C05">
        <w:rPr>
          <w:rFonts w:asciiTheme="majorBidi" w:hAnsiTheme="majorBidi" w:cstheme="majorBidi"/>
          <w:sz w:val="24"/>
          <w:szCs w:val="24"/>
        </w:rPr>
        <w:t>IIIa</w:t>
      </w:r>
      <w:proofErr w:type="spellEnd"/>
      <w:r w:rsidRPr="000E3C05">
        <w:rPr>
          <w:rFonts w:asciiTheme="majorBidi" w:hAnsiTheme="majorBidi" w:cstheme="majorBidi"/>
          <w:sz w:val="24"/>
          <w:szCs w:val="24"/>
        </w:rPr>
        <w:t xml:space="preserve"> inhibitors and more frequent need for TVR. </w:t>
      </w:r>
      <w:proofErr w:type="spellStart"/>
      <w:proofErr w:type="gramStart"/>
      <w:r w:rsidRPr="000E3C05">
        <w:rPr>
          <w:rFonts w:asciiTheme="majorBidi" w:hAnsiTheme="majorBidi" w:cstheme="majorBidi"/>
          <w:sz w:val="24"/>
          <w:szCs w:val="24"/>
        </w:rPr>
        <w:t>eCrCl</w:t>
      </w:r>
      <w:proofErr w:type="spellEnd"/>
      <w:proofErr w:type="gramEnd"/>
      <w:r w:rsidRPr="000E3C05">
        <w:rPr>
          <w:rFonts w:asciiTheme="majorBidi" w:hAnsiTheme="majorBidi" w:cstheme="majorBidi"/>
          <w:sz w:val="24"/>
          <w:szCs w:val="24"/>
        </w:rPr>
        <w:t xml:space="preserve"> had a significant positive correlation with both EF and percent dilatation of the most stenotic lesion and a significant negative correlation with both number of vessels  affected and number of late MACE.  Patients with severe RI </w:t>
      </w:r>
      <w:r w:rsidRPr="000E3C05">
        <w:rPr>
          <w:rFonts w:asciiTheme="majorBidi" w:hAnsiTheme="majorBidi" w:cstheme="majorBidi"/>
          <w:sz w:val="24"/>
          <w:szCs w:val="24"/>
        </w:rPr>
        <w:lastRenderedPageBreak/>
        <w:t>(</w:t>
      </w:r>
      <w:proofErr w:type="spellStart"/>
      <w:r w:rsidRPr="000E3C05">
        <w:rPr>
          <w:rFonts w:asciiTheme="majorBidi" w:hAnsiTheme="majorBidi" w:cstheme="majorBidi"/>
          <w:sz w:val="24"/>
          <w:szCs w:val="24"/>
        </w:rPr>
        <w:t>eCrCl</w:t>
      </w:r>
      <w:proofErr w:type="spellEnd"/>
      <w:r w:rsidRPr="000E3C05">
        <w:rPr>
          <w:rFonts w:asciiTheme="majorBidi" w:hAnsiTheme="majorBidi" w:cstheme="majorBidi"/>
          <w:sz w:val="24"/>
          <w:szCs w:val="24"/>
        </w:rPr>
        <w:t xml:space="preserve"> &lt; 30 mL/min) had a </w:t>
      </w:r>
      <w:proofErr w:type="gramStart"/>
      <w:r w:rsidRPr="000E3C05">
        <w:rPr>
          <w:rFonts w:asciiTheme="majorBidi" w:hAnsiTheme="majorBidi" w:cstheme="majorBidi"/>
          <w:sz w:val="24"/>
          <w:szCs w:val="24"/>
        </w:rPr>
        <w:t>highly  significant</w:t>
      </w:r>
      <w:proofErr w:type="gramEnd"/>
      <w:r w:rsidRPr="000E3C05">
        <w:rPr>
          <w:rFonts w:asciiTheme="majorBidi" w:hAnsiTheme="majorBidi" w:cstheme="majorBidi"/>
          <w:sz w:val="24"/>
          <w:szCs w:val="24"/>
        </w:rPr>
        <w:t xml:space="preserve"> increase in frequency of late MACE compared with other groups. Type C lesions (most severe) were more frequently found in patients with more advanced RI. MACE free survival showed a statistically significant decline matching the decline in </w:t>
      </w:r>
      <w:proofErr w:type="spellStart"/>
      <w:r w:rsidRPr="000E3C05">
        <w:rPr>
          <w:rFonts w:asciiTheme="majorBidi" w:hAnsiTheme="majorBidi" w:cstheme="majorBidi"/>
          <w:sz w:val="24"/>
          <w:szCs w:val="24"/>
        </w:rPr>
        <w:t>eCrCl</w:t>
      </w:r>
      <w:proofErr w:type="spellEnd"/>
      <w:r w:rsidRPr="000E3C05">
        <w:rPr>
          <w:rFonts w:asciiTheme="majorBidi" w:hAnsiTheme="majorBidi" w:cstheme="majorBidi"/>
          <w:sz w:val="24"/>
          <w:szCs w:val="24"/>
        </w:rPr>
        <w:t xml:space="preserve"> among study groups.</w:t>
      </w:r>
    </w:p>
    <w:p w:rsidR="00BF0594" w:rsidRPr="000E3C05" w:rsidRDefault="00BF0594" w:rsidP="00BF0594">
      <w:pPr>
        <w:autoSpaceDE w:val="0"/>
        <w:autoSpaceDN w:val="0"/>
        <w:adjustRightInd w:val="0"/>
        <w:spacing w:after="0" w:line="360" w:lineRule="auto"/>
        <w:rPr>
          <w:rFonts w:asciiTheme="majorBidi" w:hAnsiTheme="majorBidi" w:cstheme="majorBidi"/>
          <w:sz w:val="24"/>
          <w:szCs w:val="24"/>
        </w:rPr>
      </w:pPr>
      <w:r w:rsidRPr="000E3C05">
        <w:rPr>
          <w:rFonts w:asciiTheme="majorBidi" w:hAnsiTheme="majorBidi" w:cstheme="majorBidi"/>
          <w:b/>
          <w:bCs/>
          <w:sz w:val="24"/>
          <w:szCs w:val="24"/>
        </w:rPr>
        <w:t>Conclusion:</w:t>
      </w:r>
      <w:r w:rsidRPr="000E3C05">
        <w:rPr>
          <w:rFonts w:asciiTheme="majorBidi" w:hAnsiTheme="majorBidi" w:cstheme="majorBidi"/>
          <w:sz w:val="24"/>
          <w:szCs w:val="24"/>
        </w:rPr>
        <w:t xml:space="preserve"> PCI outcome in patients with severe RI is still suboptimal. These patients may be deprived the chance to receive </w:t>
      </w:r>
      <w:proofErr w:type="spellStart"/>
      <w:r w:rsidRPr="000E3C05">
        <w:rPr>
          <w:rFonts w:asciiTheme="majorBidi" w:hAnsiTheme="majorBidi" w:cstheme="majorBidi"/>
          <w:sz w:val="24"/>
          <w:szCs w:val="24"/>
        </w:rPr>
        <w:t>GPIIb</w:t>
      </w:r>
      <w:proofErr w:type="spellEnd"/>
      <w:r w:rsidRPr="000E3C05">
        <w:rPr>
          <w:rFonts w:asciiTheme="majorBidi" w:hAnsiTheme="majorBidi" w:cstheme="majorBidi"/>
          <w:sz w:val="24"/>
          <w:szCs w:val="24"/>
        </w:rPr>
        <w:t>/</w:t>
      </w:r>
      <w:proofErr w:type="spellStart"/>
      <w:r w:rsidRPr="000E3C05">
        <w:rPr>
          <w:rFonts w:asciiTheme="majorBidi" w:hAnsiTheme="majorBidi" w:cstheme="majorBidi"/>
          <w:sz w:val="24"/>
          <w:szCs w:val="24"/>
        </w:rPr>
        <w:t>IIIIa</w:t>
      </w:r>
      <w:proofErr w:type="spellEnd"/>
      <w:r w:rsidRPr="000E3C05">
        <w:rPr>
          <w:rFonts w:asciiTheme="majorBidi" w:hAnsiTheme="majorBidi" w:cstheme="majorBidi"/>
          <w:sz w:val="24"/>
          <w:szCs w:val="24"/>
        </w:rPr>
        <w:t xml:space="preserve"> inhibitors and other potentially beneficial medications. They have a significantly increased risk of TVR within one month of the index procedure and a significantly increased risk of MI, death and total MACE on the long term.</w:t>
      </w:r>
    </w:p>
    <w:p w:rsidR="00BF0594" w:rsidRPr="000E3C05" w:rsidRDefault="00BF0594" w:rsidP="00BF0594">
      <w:pPr>
        <w:autoSpaceDE w:val="0"/>
        <w:autoSpaceDN w:val="0"/>
        <w:adjustRightInd w:val="0"/>
        <w:spacing w:after="0" w:line="360" w:lineRule="auto"/>
        <w:rPr>
          <w:rFonts w:asciiTheme="majorBidi" w:hAnsiTheme="majorBidi" w:cstheme="majorBidi"/>
          <w:sz w:val="24"/>
          <w:szCs w:val="24"/>
        </w:rPr>
      </w:pPr>
      <w:r w:rsidRPr="000E3C05">
        <w:rPr>
          <w:rFonts w:asciiTheme="majorBidi" w:hAnsiTheme="majorBidi" w:cstheme="majorBidi"/>
          <w:b/>
          <w:bCs/>
          <w:sz w:val="24"/>
          <w:szCs w:val="24"/>
        </w:rPr>
        <w:t>Keywords:</w:t>
      </w:r>
      <w:r w:rsidRPr="000E3C05">
        <w:rPr>
          <w:rFonts w:asciiTheme="majorBidi" w:hAnsiTheme="majorBidi" w:cstheme="majorBidi"/>
          <w:sz w:val="24"/>
          <w:szCs w:val="24"/>
        </w:rPr>
        <w:t xml:space="preserve"> Acute coronary syndrome (ACS), Percutaneous coronary intervention (PCI), Chronic kidney disease (CKD)</w:t>
      </w:r>
      <w:proofErr w:type="gramStart"/>
      <w:r w:rsidRPr="000E3C05">
        <w:rPr>
          <w:rFonts w:asciiTheme="majorBidi" w:hAnsiTheme="majorBidi" w:cstheme="majorBidi"/>
          <w:sz w:val="24"/>
          <w:szCs w:val="24"/>
        </w:rPr>
        <w:t>,Major</w:t>
      </w:r>
      <w:proofErr w:type="gramEnd"/>
      <w:r w:rsidRPr="000E3C05">
        <w:rPr>
          <w:rFonts w:asciiTheme="majorBidi" w:hAnsiTheme="majorBidi" w:cstheme="majorBidi"/>
          <w:sz w:val="24"/>
          <w:szCs w:val="24"/>
        </w:rPr>
        <w:t xml:space="preserve"> adverse cardiac events (MACE).</w:t>
      </w:r>
    </w:p>
    <w:p w:rsidR="00BF0594" w:rsidRPr="000E3C05" w:rsidRDefault="00BF0594" w:rsidP="00BF0594">
      <w:pPr>
        <w:autoSpaceDE w:val="0"/>
        <w:autoSpaceDN w:val="0"/>
        <w:adjustRightInd w:val="0"/>
        <w:spacing w:after="0" w:line="360" w:lineRule="auto"/>
        <w:rPr>
          <w:rFonts w:asciiTheme="majorBidi" w:hAnsiTheme="majorBidi" w:cstheme="majorBidi"/>
          <w:sz w:val="24"/>
          <w:szCs w:val="24"/>
        </w:rPr>
      </w:pPr>
    </w:p>
    <w:p w:rsidR="00BF0594" w:rsidRPr="000E3C05" w:rsidRDefault="00BF0594" w:rsidP="00666001">
      <w:pPr>
        <w:spacing w:line="360" w:lineRule="auto"/>
        <w:rPr>
          <w:rFonts w:asciiTheme="majorBidi" w:hAnsiTheme="majorBidi" w:cstheme="majorBidi"/>
          <w:sz w:val="24"/>
          <w:szCs w:val="24"/>
        </w:rPr>
      </w:pPr>
      <w:r w:rsidRPr="000E3C05">
        <w:rPr>
          <w:rFonts w:asciiTheme="majorBidi" w:hAnsiTheme="majorBidi" w:cstheme="majorBidi"/>
          <w:sz w:val="24"/>
          <w:szCs w:val="24"/>
        </w:rPr>
        <w:t xml:space="preserve"> </w:t>
      </w:r>
    </w:p>
    <w:p w:rsidR="00666001" w:rsidRPr="00666001" w:rsidRDefault="00666001" w:rsidP="00666001">
      <w:pPr>
        <w:autoSpaceDE w:val="0"/>
        <w:autoSpaceDN w:val="0"/>
        <w:adjustRightInd w:val="0"/>
        <w:rPr>
          <w:b/>
        </w:rPr>
      </w:pPr>
      <w:r w:rsidRPr="00666001">
        <w:rPr>
          <w:b/>
          <w:lang w:val="en-NZ"/>
        </w:rPr>
        <w:t xml:space="preserve">Presenting author details                                                                            </w:t>
      </w:r>
      <w:r w:rsidRPr="00666001">
        <w:rPr>
          <w:b/>
          <w:lang w:val="en-NZ"/>
        </w:rPr>
        <w:br/>
      </w:r>
      <w:r w:rsidRPr="00666001">
        <w:rPr>
          <w:lang w:val="en-NZ"/>
        </w:rPr>
        <w:t xml:space="preserve">Full name: </w:t>
      </w:r>
      <w:proofErr w:type="spellStart"/>
      <w:r>
        <w:t>Kamel</w:t>
      </w:r>
      <w:proofErr w:type="spellEnd"/>
      <w:r>
        <w:t xml:space="preserve"> Ghazal</w:t>
      </w:r>
      <w:r w:rsidRPr="00666001">
        <w:rPr>
          <w:lang w:val="en-NZ"/>
        </w:rPr>
        <w:br/>
        <w:t>Contact number: +2010</w:t>
      </w:r>
      <w:r>
        <w:rPr>
          <w:lang w:val="en-NZ"/>
        </w:rPr>
        <w:t>93310207</w:t>
      </w:r>
      <w:r w:rsidRPr="00666001">
        <w:rPr>
          <w:lang w:val="en-NZ"/>
        </w:rPr>
        <w:br/>
        <w:t xml:space="preserve"> Email:</w:t>
      </w:r>
      <w:r w:rsidRPr="00666001">
        <w:rPr>
          <w:b/>
          <w:lang w:val="en-NZ"/>
        </w:rPr>
        <w:t xml:space="preserve"> </w:t>
      </w:r>
      <w:hyperlink r:id="rId5" w:history="1">
        <w:r w:rsidRPr="00784B24">
          <w:rPr>
            <w:rStyle w:val="Hyperlink"/>
            <w:b/>
            <w:lang w:val="en-NZ"/>
          </w:rPr>
          <w:t>kamelghazal535@yahoo.com</w:t>
        </w:r>
      </w:hyperlink>
    </w:p>
    <w:p w:rsidR="00666001" w:rsidRPr="00666001" w:rsidRDefault="00666001" w:rsidP="00666001">
      <w:pPr>
        <w:autoSpaceDE w:val="0"/>
        <w:autoSpaceDN w:val="0"/>
        <w:adjustRightInd w:val="0"/>
        <w:rPr>
          <w:b/>
        </w:rPr>
      </w:pPr>
      <w:r w:rsidRPr="00666001">
        <w:rPr>
          <w:b/>
        </w:rPr>
        <w:t>Oral presentation</w:t>
      </w:r>
    </w:p>
    <w:p w:rsidR="00BF0594" w:rsidRPr="000E3C05" w:rsidRDefault="00666001" w:rsidP="00666001">
      <w:pPr>
        <w:spacing w:line="360" w:lineRule="auto"/>
        <w:jc w:val="right"/>
        <w:rPr>
          <w:rFonts w:asciiTheme="majorBidi" w:hAnsiTheme="majorBidi" w:cstheme="majorBidi"/>
          <w:sz w:val="24"/>
          <w:szCs w:val="24"/>
          <w:lang w:bidi="ar-EG"/>
        </w:rPr>
      </w:pPr>
      <w:bookmarkStart w:id="0" w:name="_GoBack"/>
      <w:r>
        <w:rPr>
          <w:noProof/>
        </w:rPr>
        <w:drawing>
          <wp:inline distT="0" distB="0" distL="0" distR="0" wp14:anchorId="0FC76662" wp14:editId="6FAF6C21">
            <wp:extent cx="870508" cy="1089965"/>
            <wp:effectExtent l="0" t="0" r="6350" b="0"/>
            <wp:docPr id="1" name="Picture 1" descr="http://www.newsadmin.zu.edu.eg/uploadedfiles/image/news/download17042016015008P3005201601331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ewsadmin.zu.edu.eg/uploadedfiles/image/news/download17042016015008P30052016013314P.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517" cy="1089976"/>
                    </a:xfrm>
                    <a:prstGeom prst="rect">
                      <a:avLst/>
                    </a:prstGeom>
                    <a:noFill/>
                    <a:ln>
                      <a:noFill/>
                    </a:ln>
                  </pic:spPr>
                </pic:pic>
              </a:graphicData>
            </a:graphic>
          </wp:inline>
        </w:drawing>
      </w:r>
      <w:bookmarkEnd w:id="0"/>
    </w:p>
    <w:p w:rsidR="00C72494" w:rsidRDefault="00666001">
      <w:pPr>
        <w:rPr>
          <w:lang w:bidi="ar-EG"/>
        </w:rPr>
      </w:pPr>
    </w:p>
    <w:sectPr w:rsidR="00C72494" w:rsidSect="0021152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594"/>
    <w:rsid w:val="00211529"/>
    <w:rsid w:val="00666001"/>
    <w:rsid w:val="006D005A"/>
    <w:rsid w:val="00BF05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594"/>
    <w:pPr>
      <w:ind w:left="720"/>
      <w:contextualSpacing/>
    </w:pPr>
  </w:style>
  <w:style w:type="character" w:styleId="Hyperlink">
    <w:name w:val="Hyperlink"/>
    <w:basedOn w:val="DefaultParagraphFont"/>
    <w:uiPriority w:val="99"/>
    <w:unhideWhenUsed/>
    <w:rsid w:val="00666001"/>
    <w:rPr>
      <w:color w:val="0000FF" w:themeColor="hyperlink"/>
      <w:u w:val="single"/>
    </w:rPr>
  </w:style>
  <w:style w:type="paragraph" w:styleId="BalloonText">
    <w:name w:val="Balloon Text"/>
    <w:basedOn w:val="Normal"/>
    <w:link w:val="BalloonTextChar"/>
    <w:uiPriority w:val="99"/>
    <w:semiHidden/>
    <w:unhideWhenUsed/>
    <w:rsid w:val="006660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0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594"/>
    <w:pPr>
      <w:ind w:left="720"/>
      <w:contextualSpacing/>
    </w:pPr>
  </w:style>
  <w:style w:type="character" w:styleId="Hyperlink">
    <w:name w:val="Hyperlink"/>
    <w:basedOn w:val="DefaultParagraphFont"/>
    <w:uiPriority w:val="99"/>
    <w:unhideWhenUsed/>
    <w:rsid w:val="00666001"/>
    <w:rPr>
      <w:color w:val="0000FF" w:themeColor="hyperlink"/>
      <w:u w:val="single"/>
    </w:rPr>
  </w:style>
  <w:style w:type="paragraph" w:styleId="BalloonText">
    <w:name w:val="Balloon Text"/>
    <w:basedOn w:val="Normal"/>
    <w:link w:val="BalloonTextChar"/>
    <w:uiPriority w:val="99"/>
    <w:semiHidden/>
    <w:unhideWhenUsed/>
    <w:rsid w:val="006660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0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kamelghazal53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ABDELRAHMAN</dc:creator>
  <cp:lastModifiedBy>ABDELRAHMAN</cp:lastModifiedBy>
  <cp:revision>2</cp:revision>
  <dcterms:created xsi:type="dcterms:W3CDTF">2016-05-09T22:33:00Z</dcterms:created>
  <dcterms:modified xsi:type="dcterms:W3CDTF">2016-08-11T23:23:00Z</dcterms:modified>
</cp:coreProperties>
</file>