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568AFD" w14:textId="77777777" w:rsidR="0003697D" w:rsidRPr="0003697D" w:rsidRDefault="0003697D" w:rsidP="0003697D">
      <w:pPr>
        <w:pStyle w:val="Heading1"/>
        <w:shd w:val="clear" w:color="auto" w:fill="FFFFFF"/>
        <w:spacing w:after="120"/>
        <w:jc w:val="center"/>
        <w:rPr>
          <w:rFonts w:asciiTheme="majorBidi" w:hAnsiTheme="majorBidi"/>
          <w:b/>
          <w:bCs/>
          <w:color w:val="000000"/>
          <w:sz w:val="28"/>
          <w:szCs w:val="28"/>
          <w:lang w:bidi="te-IN"/>
        </w:rPr>
      </w:pPr>
      <w:r w:rsidRPr="0003697D">
        <w:rPr>
          <w:rFonts w:asciiTheme="majorBidi" w:hAnsiTheme="majorBidi"/>
          <w:sz w:val="28"/>
          <w:szCs w:val="28"/>
          <w:lang w:val="en-NZ" w:bidi="te-IN"/>
        </w:rPr>
        <w:t xml:space="preserve">Title: </w:t>
      </w:r>
      <w:r w:rsidRPr="0003697D">
        <w:rPr>
          <w:rFonts w:asciiTheme="majorBidi" w:hAnsiTheme="majorBidi"/>
          <w:color w:val="000000"/>
          <w:sz w:val="28"/>
          <w:szCs w:val="28"/>
          <w:lang w:bidi="te-IN"/>
        </w:rPr>
        <w:t>Hypocalcemic Rachitic Cardiomyopathy in Infants</w:t>
      </w:r>
    </w:p>
    <w:p w14:paraId="141F0526" w14:textId="77777777" w:rsidR="0003697D" w:rsidRDefault="0003697D" w:rsidP="0003697D">
      <w:pPr>
        <w:jc w:val="center"/>
        <w:rPr>
          <w:rFonts w:asciiTheme="majorBidi" w:hAnsiTheme="majorBidi" w:cstheme="majorBidi"/>
          <w:sz w:val="24"/>
          <w:szCs w:val="24"/>
          <w:lang w:eastAsia="x-none" w:bidi="te-IN"/>
        </w:rPr>
      </w:pPr>
      <w:bookmarkStart w:id="0" w:name="_GoBack"/>
      <w:bookmarkEnd w:id="0"/>
      <w:r w:rsidRPr="0003697D">
        <w:rPr>
          <w:rFonts w:asciiTheme="majorBidi" w:hAnsiTheme="majorBidi" w:cstheme="majorBidi"/>
          <w:sz w:val="24"/>
          <w:szCs w:val="24"/>
          <w:lang w:eastAsia="x-none" w:bidi="te-IN"/>
        </w:rPr>
        <w:t>Abdelwahab TH Elidrissy</w:t>
      </w:r>
    </w:p>
    <w:p w14:paraId="05153263" w14:textId="77777777" w:rsidR="0003697D" w:rsidRPr="0003697D" w:rsidRDefault="0003697D" w:rsidP="0003697D">
      <w:pPr>
        <w:jc w:val="center"/>
        <w:rPr>
          <w:rFonts w:asciiTheme="majorBidi" w:hAnsiTheme="majorBidi" w:cstheme="majorBidi"/>
          <w:sz w:val="24"/>
          <w:szCs w:val="24"/>
          <w:lang w:eastAsia="x-none" w:bidi="te-IN"/>
        </w:rPr>
      </w:pPr>
      <w:r>
        <w:rPr>
          <w:rFonts w:asciiTheme="majorBidi" w:hAnsiTheme="majorBidi" w:cstheme="majorBidi"/>
          <w:sz w:val="24"/>
          <w:szCs w:val="24"/>
          <w:lang w:eastAsia="x-none" w:bidi="te-IN"/>
        </w:rPr>
        <w:t>Professor of Pediatrics</w:t>
      </w:r>
    </w:p>
    <w:p w14:paraId="193AC08E" w14:textId="77777777" w:rsidR="0003697D" w:rsidRPr="0003697D" w:rsidRDefault="0003697D" w:rsidP="0003697D">
      <w:pPr>
        <w:jc w:val="center"/>
        <w:rPr>
          <w:rFonts w:asciiTheme="majorBidi" w:hAnsiTheme="majorBidi" w:cstheme="majorBidi"/>
          <w:sz w:val="24"/>
          <w:szCs w:val="24"/>
          <w:lang w:eastAsia="x-none" w:bidi="te-IN"/>
        </w:rPr>
      </w:pPr>
      <w:r w:rsidRPr="0003697D">
        <w:rPr>
          <w:rFonts w:asciiTheme="majorBidi" w:hAnsiTheme="majorBidi" w:cstheme="majorBidi"/>
          <w:sz w:val="24"/>
          <w:szCs w:val="24"/>
          <w:lang w:eastAsia="x-none" w:bidi="te-IN"/>
        </w:rPr>
        <w:t>University of Science and Technology, Khartoum, Sudan</w:t>
      </w:r>
    </w:p>
    <w:p w14:paraId="7DF9D116" w14:textId="77777777" w:rsidR="0003697D" w:rsidRPr="0003697D" w:rsidRDefault="0003697D" w:rsidP="001849FD">
      <w:pPr>
        <w:jc w:val="center"/>
        <w:rPr>
          <w:rFonts w:asciiTheme="majorBidi" w:hAnsiTheme="majorBidi" w:cstheme="majorBidi"/>
          <w:sz w:val="24"/>
          <w:szCs w:val="24"/>
          <w:lang w:eastAsia="x-none" w:bidi="te-IN"/>
        </w:rPr>
      </w:pPr>
    </w:p>
    <w:p w14:paraId="73D74076" w14:textId="77777777" w:rsidR="0003697D" w:rsidRPr="0003697D" w:rsidRDefault="0003697D" w:rsidP="001849FD">
      <w:pPr>
        <w:shd w:val="clear" w:color="auto" w:fill="FFFFFF"/>
        <w:outlineLvl w:val="2"/>
        <w:rPr>
          <w:rFonts w:asciiTheme="majorBidi" w:hAnsiTheme="majorBidi" w:cstheme="majorBidi"/>
          <w:b/>
          <w:bCs/>
          <w:sz w:val="24"/>
          <w:szCs w:val="24"/>
        </w:rPr>
      </w:pPr>
    </w:p>
    <w:p w14:paraId="23D0D84B" w14:textId="77777777" w:rsidR="0003697D" w:rsidRPr="0003697D" w:rsidRDefault="0003697D" w:rsidP="001849FD">
      <w:pPr>
        <w:shd w:val="clear" w:color="auto" w:fill="FFFFFF"/>
        <w:spacing w:line="245" w:lineRule="atLeast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 w:rsidRPr="0003697D">
        <w:rPr>
          <w:rFonts w:asciiTheme="majorBidi" w:hAnsiTheme="majorBidi" w:cstheme="majorBidi"/>
          <w:sz w:val="24"/>
          <w:szCs w:val="24"/>
        </w:rPr>
        <w:t>Hypocalcemic cardiomyopathy in infants is characterized by heart failure in a previously normal infant with hypocalcemia without organic cardiac lesion. Vitamin D deficiency rickets is increasing in Middle East. In a six month study 136 cases of rickets were diagnosed in the main Children's Hospital in Almadinah but none of them showed evidence of cardiomyopathy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03697D">
        <w:rPr>
          <w:rFonts w:asciiTheme="majorBidi" w:hAnsiTheme="majorBidi" w:cstheme="majorBidi"/>
          <w:sz w:val="24"/>
          <w:szCs w:val="24"/>
        </w:rPr>
        <w:t xml:space="preserve">except a case </w:t>
      </w:r>
      <w:proofErr w:type="spellStart"/>
      <w:r w:rsidRPr="0003697D">
        <w:rPr>
          <w:rFonts w:asciiTheme="majorBidi" w:hAnsiTheme="majorBidi" w:cstheme="majorBidi"/>
          <w:sz w:val="24"/>
          <w:szCs w:val="24"/>
        </w:rPr>
        <w:t>presnted</w:t>
      </w:r>
      <w:proofErr w:type="spellEnd"/>
      <w:r w:rsidRPr="0003697D">
        <w:rPr>
          <w:rFonts w:asciiTheme="majorBidi" w:hAnsiTheme="majorBidi" w:cstheme="majorBidi"/>
          <w:sz w:val="24"/>
          <w:szCs w:val="24"/>
        </w:rPr>
        <w:t xml:space="preserve"> in this meeting. Concerned of missing this serious complication of rickets we searched pub med and present this review article.</w:t>
      </w:r>
    </w:p>
    <w:p w14:paraId="1E067E9A" w14:textId="77777777" w:rsidR="0003697D" w:rsidRPr="0003697D" w:rsidRDefault="0003697D" w:rsidP="001849FD">
      <w:pPr>
        <w:shd w:val="clear" w:color="auto" w:fill="FFFFFF"/>
        <w:spacing w:line="245" w:lineRule="atLeast"/>
        <w:jc w:val="both"/>
        <w:rPr>
          <w:rFonts w:asciiTheme="majorBidi" w:hAnsiTheme="majorBidi" w:cstheme="majorBidi"/>
          <w:sz w:val="24"/>
          <w:szCs w:val="24"/>
        </w:rPr>
      </w:pPr>
      <w:r w:rsidRPr="0003697D">
        <w:rPr>
          <w:rFonts w:asciiTheme="majorBidi" w:hAnsiTheme="majorBidi" w:cstheme="majorBidi"/>
          <w:sz w:val="24"/>
          <w:szCs w:val="24"/>
        </w:rPr>
        <w:t xml:space="preserve">61 cases of hypocalcemic cardiomyopathy were reported as case reports with two series of 16 and 15 cases from London and Delhi, respectively. The major features of these cases: the age ranged from one month to 15 months with a mean age of 5 months. All presented with heart failure and hypocalcemia. There was a minor feature of rickets in a few of the cases. All had high alkaline phosphatase. </w:t>
      </w:r>
      <w:proofErr w:type="spellStart"/>
      <w:r w:rsidRPr="0003697D">
        <w:rPr>
          <w:rFonts w:asciiTheme="majorBidi" w:hAnsiTheme="majorBidi" w:cstheme="majorBidi"/>
          <w:sz w:val="24"/>
          <w:szCs w:val="24"/>
        </w:rPr>
        <w:t>Echocardiology</w:t>
      </w:r>
      <w:proofErr w:type="spellEnd"/>
      <w:r w:rsidRPr="0003697D">
        <w:rPr>
          <w:rFonts w:asciiTheme="majorBidi" w:hAnsiTheme="majorBidi" w:cstheme="majorBidi"/>
          <w:sz w:val="24"/>
          <w:szCs w:val="24"/>
        </w:rPr>
        <w:t xml:space="preserve"> evidence of cardiomyopathy was found in all. Most of them responded to calcium, vitamin D and </w:t>
      </w:r>
      <w:proofErr w:type="spellStart"/>
      <w:r w:rsidRPr="0003697D">
        <w:rPr>
          <w:rFonts w:asciiTheme="majorBidi" w:hAnsiTheme="majorBidi" w:cstheme="majorBidi"/>
          <w:sz w:val="24"/>
          <w:szCs w:val="24"/>
        </w:rPr>
        <w:t>cardiotonic</w:t>
      </w:r>
      <w:proofErr w:type="spellEnd"/>
      <w:r w:rsidRPr="0003697D">
        <w:rPr>
          <w:rFonts w:asciiTheme="majorBidi" w:hAnsiTheme="majorBidi" w:cstheme="majorBidi"/>
          <w:sz w:val="24"/>
          <w:szCs w:val="24"/>
        </w:rPr>
        <w:t xml:space="preserve"> and diuretics.</w:t>
      </w:r>
    </w:p>
    <w:p w14:paraId="7A33AD1D" w14:textId="77777777" w:rsidR="0003697D" w:rsidRPr="0003697D" w:rsidRDefault="0003697D" w:rsidP="001849FD">
      <w:pPr>
        <w:shd w:val="clear" w:color="auto" w:fill="FFFFFF"/>
        <w:spacing w:line="245" w:lineRule="atLeast"/>
        <w:jc w:val="both"/>
        <w:rPr>
          <w:rFonts w:asciiTheme="majorBidi" w:hAnsiTheme="majorBidi" w:cstheme="majorBidi"/>
          <w:sz w:val="24"/>
          <w:szCs w:val="24"/>
        </w:rPr>
      </w:pPr>
      <w:r w:rsidRPr="0003697D">
        <w:rPr>
          <w:rFonts w:asciiTheme="majorBidi" w:hAnsiTheme="majorBidi" w:cstheme="majorBidi"/>
          <w:sz w:val="24"/>
          <w:szCs w:val="24"/>
        </w:rPr>
        <w:t xml:space="preserve">We concentrated on pathogenesis of this hypocalcemic cardiomyopathy and reviewed the literature. The evidence available supports that the most likely cause of cardiomyopathy is hypocalcemia. </w:t>
      </w:r>
      <w:proofErr w:type="spellStart"/>
      <w:r w:rsidRPr="0003697D">
        <w:rPr>
          <w:rFonts w:asciiTheme="majorBidi" w:hAnsiTheme="majorBidi" w:cstheme="majorBidi"/>
          <w:sz w:val="24"/>
          <w:szCs w:val="24"/>
        </w:rPr>
        <w:t>Hypovitamin</w:t>
      </w:r>
      <w:proofErr w:type="spellEnd"/>
      <w:r w:rsidRPr="0003697D">
        <w:rPr>
          <w:rFonts w:asciiTheme="majorBidi" w:hAnsiTheme="majorBidi" w:cstheme="majorBidi"/>
          <w:sz w:val="24"/>
          <w:szCs w:val="24"/>
        </w:rPr>
        <w:t xml:space="preserve"> D also contributes but hyperparathyroidism might have a protective role as we did not detect any evidence of cardiomyopathy with hyperparathyroidism per </w:t>
      </w:r>
      <w:proofErr w:type="spellStart"/>
      <w:r w:rsidRPr="0003697D">
        <w:rPr>
          <w:rFonts w:asciiTheme="majorBidi" w:hAnsiTheme="majorBidi" w:cstheme="majorBidi"/>
          <w:sz w:val="24"/>
          <w:szCs w:val="24"/>
        </w:rPr>
        <w:t>sey</w:t>
      </w:r>
      <w:proofErr w:type="spellEnd"/>
      <w:r w:rsidRPr="0003697D">
        <w:rPr>
          <w:rFonts w:asciiTheme="majorBidi" w:hAnsiTheme="majorBidi" w:cstheme="majorBidi"/>
          <w:sz w:val="24"/>
          <w:szCs w:val="24"/>
        </w:rPr>
        <w:t xml:space="preserve"> and florid features of rickets.</w:t>
      </w:r>
    </w:p>
    <w:p w14:paraId="2B852334" w14:textId="77777777" w:rsidR="0003697D" w:rsidRPr="0003697D" w:rsidRDefault="0003697D" w:rsidP="001849FD">
      <w:pPr>
        <w:shd w:val="clear" w:color="auto" w:fill="FFFFFF"/>
        <w:spacing w:line="245" w:lineRule="atLeast"/>
        <w:jc w:val="both"/>
        <w:rPr>
          <w:rFonts w:asciiTheme="majorBidi" w:hAnsiTheme="majorBidi" w:cstheme="majorBidi"/>
          <w:sz w:val="24"/>
          <w:szCs w:val="24"/>
        </w:rPr>
      </w:pPr>
      <w:r w:rsidRPr="0003697D">
        <w:rPr>
          <w:rFonts w:asciiTheme="majorBidi" w:hAnsiTheme="majorBidi" w:cstheme="majorBidi"/>
          <w:sz w:val="24"/>
          <w:szCs w:val="24"/>
        </w:rPr>
        <w:t>We need to look out for cardiomyopathy among infants with hypocalcemia. For prevention maternal supplementation during pregnancy and lactation with up to 2000 units of vitamin D and 400 units for their infants.</w:t>
      </w:r>
    </w:p>
    <w:p w14:paraId="2DA44A7F" w14:textId="77777777" w:rsidR="0003697D" w:rsidRPr="0003697D" w:rsidRDefault="0003697D">
      <w:pPr>
        <w:rPr>
          <w:rFonts w:asciiTheme="majorBidi" w:hAnsiTheme="majorBidi" w:cstheme="majorBidi"/>
        </w:rPr>
      </w:pPr>
    </w:p>
    <w:sectPr w:rsidR="0003697D" w:rsidRPr="000369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97D"/>
    <w:rsid w:val="0003697D"/>
    <w:rsid w:val="0071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B56533"/>
  <w15:chartTrackingRefBased/>
  <w15:docId w15:val="{15EF632E-6F42-46FD-B5B9-6BD6CFAFA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03697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basedOn w:val="DefaultParagraphFont"/>
    <w:link w:val="Heading1"/>
    <w:uiPriority w:val="9"/>
    <w:rsid w:val="0003697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Abdelwahab Elidrissy</dc:creator>
  <cp:keywords/>
  <dc:description/>
  <cp:lastModifiedBy>Abdelwahab Elidrissy</cp:lastModifiedBy>
  <cp:revision>3</cp:revision>
  <dcterms:created xsi:type="dcterms:W3CDTF">2016-07-05T20:45:00Z</dcterms:created>
  <dcterms:modified xsi:type="dcterms:W3CDTF">2016-07-05T20:46:00Z</dcterms:modified>
</cp:coreProperties>
</file>