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CDACD" w14:textId="2CBA6D6B" w:rsidR="001F432C" w:rsidRPr="00A810C5" w:rsidRDefault="002F5824" w:rsidP="00A810C5">
      <w:pPr>
        <w:widowControl w:val="0"/>
        <w:autoSpaceDE w:val="0"/>
        <w:autoSpaceDN w:val="0"/>
        <w:adjustRightInd w:val="0"/>
        <w:spacing w:after="240" w:line="460" w:lineRule="atLeast"/>
        <w:rPr>
          <w:rFonts w:ascii="Times New Roman" w:hAnsi="Times New Roman" w:cs="Times New Roman"/>
          <w:color w:val="632423" w:themeColor="accent2" w:themeShade="80"/>
          <w:sz w:val="24"/>
          <w:szCs w:val="24"/>
          <w:lang w:val="en-US"/>
        </w:rPr>
      </w:pPr>
      <w:r w:rsidRPr="002F5824">
        <w:rPr>
          <w:rFonts w:ascii="Times New Roman" w:hAnsi="Times New Roman" w:cs="Times New Roman"/>
          <w:b/>
          <w:bCs/>
          <w:color w:val="632423" w:themeColor="accent2" w:themeShade="80"/>
          <w:sz w:val="24"/>
          <w:szCs w:val="24"/>
        </w:rPr>
        <w:t>Effects of exogenous IGFBP-2 and IGFBP-5 on tamoxifen resistance breast cancer cells</w:t>
      </w:r>
      <w:r w:rsidR="0042146F">
        <w:rPr>
          <w:rFonts w:ascii="Times New Roman" w:hAnsi="Times New Roman" w:cs="Times New Roman"/>
          <w:b/>
          <w:bCs/>
          <w:color w:val="632423" w:themeColor="accent2" w:themeShade="80"/>
          <w:sz w:val="24"/>
          <w:szCs w:val="24"/>
          <w:lang w:val="en-US"/>
        </w:rPr>
        <w:t>.</w:t>
      </w:r>
    </w:p>
    <w:p w14:paraId="2AA87B5B" w14:textId="77777777" w:rsidR="002D7450" w:rsidRDefault="002D7450" w:rsidP="00AA64F8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56043379" w14:textId="1C91107A" w:rsidR="00AA64F8" w:rsidRDefault="00AA64F8" w:rsidP="00AA64F8">
      <w:pPr>
        <w:spacing w:after="0" w:line="360" w:lineRule="auto"/>
        <w:ind w:left="720"/>
        <w:rPr>
          <w:rFonts w:ascii="MS Mincho" w:eastAsia="MS Mincho" w:hAnsi="MS Mincho" w:cs="MS Mincho"/>
          <w:b/>
          <w:bCs/>
          <w:lang w:val="en-US"/>
        </w:rPr>
      </w:pPr>
      <w:r w:rsidRPr="00AA64F8">
        <w:rPr>
          <w:rFonts w:ascii="Times New Roman" w:eastAsia="Times New Roman" w:hAnsi="Times New Roman" w:cs="Times New Roman"/>
          <w:b/>
          <w:bCs/>
          <w:lang w:val="en-US"/>
        </w:rPr>
        <w:t>Yousef Hawsawi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1,3,4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Matthew P. Humphries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3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Alexander Wright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3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Angelene Berwick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3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Mike Shires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3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Hanaa Al-Kharobi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1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Reem El-Gendy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1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Maria Jove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2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Chris Twelves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2,3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Valerie Speirs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3</w:t>
      </w:r>
      <w:r w:rsidRPr="00AA64F8">
        <w:rPr>
          <w:rFonts w:ascii="Times New Roman" w:eastAsia="Times New Roman" w:hAnsi="Times New Roman" w:cs="Times New Roman"/>
          <w:b/>
          <w:bCs/>
          <w:lang w:val="en-US"/>
        </w:rPr>
        <w:t>, James Beattie</w:t>
      </w: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1</w:t>
      </w:r>
      <w:r w:rsidR="002D7450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 xml:space="preserve"> </w:t>
      </w:r>
      <w:r w:rsidR="002D7450" w:rsidRPr="002D7450">
        <w:rPr>
          <w:rFonts w:ascii="Times New Roman" w:eastAsia="Times New Roman" w:hAnsi="Times New Roman" w:cs="Times New Roman"/>
          <w:b/>
          <w:bCs/>
          <w:lang w:val="en-US"/>
        </w:rPr>
        <w:t>,</w:t>
      </w:r>
      <w:r w:rsidR="002D7450">
        <w:rPr>
          <w:rFonts w:ascii="Times New Roman" w:eastAsia="Times New Roman" w:hAnsi="Times New Roman" w:cs="Times New Roman"/>
          <w:b/>
          <w:bCs/>
          <w:lang w:val="en-US"/>
        </w:rPr>
        <w:t xml:space="preserve"> Nada Al-Tassan</w:t>
      </w:r>
      <w:bookmarkStart w:id="0" w:name="_GoBack"/>
      <w:r w:rsidR="002D7450" w:rsidRPr="002D7450">
        <w:rPr>
          <w:rFonts w:ascii="Times New Roman" w:eastAsia="Times New Roman" w:hAnsi="Times New Roman" w:cs="Times New Roman"/>
          <w:vertAlign w:val="superscript"/>
          <w:lang w:val="en-US"/>
        </w:rPr>
        <w:t>4</w:t>
      </w:r>
      <w:bookmarkEnd w:id="0"/>
      <w:r w:rsidR="002D7450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2D7450">
        <w:rPr>
          <w:rFonts w:ascii="MS Mincho" w:eastAsia="MS Mincho" w:hAnsi="MS Mincho" w:cs="MS Mincho"/>
          <w:b/>
          <w:bCs/>
          <w:lang w:val="en-US"/>
        </w:rPr>
        <w:t> </w:t>
      </w:r>
    </w:p>
    <w:p w14:paraId="7B476B78" w14:textId="7A379C45" w:rsidR="00AA64F8" w:rsidRPr="00AA64F8" w:rsidRDefault="00AA64F8" w:rsidP="00AA64F8">
      <w:pPr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1</w:t>
      </w:r>
      <w:r w:rsidRPr="00AA64F8">
        <w:rPr>
          <w:rFonts w:ascii="Times New Roman" w:eastAsia="Times New Roman" w:hAnsi="Times New Roman" w:cs="Times New Roman"/>
          <w:lang w:val="en-US"/>
        </w:rPr>
        <w:t xml:space="preserve">Department of Oral Biology, St James’s University Hospital, Leeds, UK </w:t>
      </w:r>
    </w:p>
    <w:p w14:paraId="7DF2C7D6" w14:textId="77777777" w:rsidR="00AA64F8" w:rsidRPr="00AA64F8" w:rsidRDefault="00AA64F8" w:rsidP="00AA64F8">
      <w:pPr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2</w:t>
      </w:r>
      <w:r w:rsidRPr="00AA64F8">
        <w:rPr>
          <w:rFonts w:ascii="Times New Roman" w:eastAsia="Times New Roman" w:hAnsi="Times New Roman" w:cs="Times New Roman"/>
          <w:lang w:val="en-US"/>
        </w:rPr>
        <w:t xml:space="preserve">St James’s Institute of Oncology, St James's University Hospital, Leeds, UK </w:t>
      </w:r>
    </w:p>
    <w:p w14:paraId="55790BCF" w14:textId="77777777" w:rsidR="00AA64F8" w:rsidRDefault="00AA64F8" w:rsidP="00AA64F8">
      <w:pPr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 w:rsidRPr="00AA64F8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>3</w:t>
      </w:r>
      <w:r w:rsidRPr="00AA64F8">
        <w:rPr>
          <w:rFonts w:ascii="Times New Roman" w:eastAsia="Times New Roman" w:hAnsi="Times New Roman" w:cs="Times New Roman"/>
          <w:lang w:val="en-US"/>
        </w:rPr>
        <w:t xml:space="preserve">Leeds Institute of Cancer and Pathology, University of Leeds, UK </w:t>
      </w:r>
    </w:p>
    <w:p w14:paraId="44987958" w14:textId="3AFC33D3" w:rsidR="00AA64F8" w:rsidRDefault="00AA64F8" w:rsidP="0042146F">
      <w:pPr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 w:rsidRPr="002D7450">
        <w:rPr>
          <w:rFonts w:ascii="Times New Roman" w:eastAsia="Times New Roman" w:hAnsi="Times New Roman" w:cs="Times New Roman"/>
          <w:vertAlign w:val="superscript"/>
          <w:lang w:val="en-US"/>
        </w:rPr>
        <w:t>4</w:t>
      </w:r>
      <w:r w:rsidR="002D7450" w:rsidRPr="002D7450">
        <w:rPr>
          <w:rFonts w:ascii="Times New Roman" w:eastAsia="Times New Roman" w:hAnsi="Times New Roman" w:cs="Times New Roman"/>
          <w:lang w:val="en-US"/>
        </w:rPr>
        <w:t>Department of genetics</w:t>
      </w:r>
      <w:r w:rsidR="002D7450">
        <w:rPr>
          <w:rFonts w:ascii="Times New Roman" w:eastAsia="Times New Roman" w:hAnsi="Times New Roman" w:cs="Times New Roman"/>
          <w:b/>
          <w:bCs/>
          <w:vertAlign w:val="superscript"/>
          <w:lang w:val="en-US"/>
        </w:rPr>
        <w:t xml:space="preserve"> </w:t>
      </w:r>
      <w:r w:rsidR="00034E6B" w:rsidRPr="00AA64F8">
        <w:rPr>
          <w:rFonts w:ascii="Times New Roman" w:hAnsi="Times New Roman" w:cs="Times New Roman"/>
        </w:rPr>
        <w:t xml:space="preserve">King Faisal Specialist hospital &amp; Research </w:t>
      </w:r>
      <w:r>
        <w:rPr>
          <w:rFonts w:ascii="Times New Roman" w:hAnsi="Times New Roman" w:cs="Times New Roman"/>
        </w:rPr>
        <w:t>C</w:t>
      </w:r>
      <w:r w:rsidRPr="00AA64F8">
        <w:rPr>
          <w:rFonts w:ascii="Times New Roman" w:hAnsi="Times New Roman" w:cs="Times New Roman"/>
        </w:rPr>
        <w:t>entre</w:t>
      </w:r>
      <w:r w:rsidR="00034E6B" w:rsidRPr="00AA64F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Riyadh, </w:t>
      </w:r>
      <w:r w:rsidR="00034E6B" w:rsidRPr="00AA64F8">
        <w:rPr>
          <w:rFonts w:ascii="Times New Roman" w:hAnsi="Times New Roman" w:cs="Times New Roman"/>
        </w:rPr>
        <w:t xml:space="preserve">Saudi Arabia </w:t>
      </w:r>
    </w:p>
    <w:p w14:paraId="42853A0A" w14:textId="77777777" w:rsidR="0042146F" w:rsidRPr="0042146F" w:rsidRDefault="0042146F" w:rsidP="0042146F">
      <w:pPr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</w:p>
    <w:p w14:paraId="3E49A76B" w14:textId="77777777" w:rsidR="002D7450" w:rsidRDefault="002D7450" w:rsidP="0042146F">
      <w:pPr>
        <w:spacing w:after="12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A563FAB" w14:textId="77777777" w:rsidR="00877824" w:rsidRPr="00E72BFC" w:rsidRDefault="00526412" w:rsidP="0042146F">
      <w:pPr>
        <w:spacing w:after="12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26412">
        <w:rPr>
          <w:rFonts w:ascii="Times New Roman" w:hAnsi="Times New Roman" w:cs="Times New Roman"/>
          <w:b/>
          <w:sz w:val="24"/>
          <w:szCs w:val="24"/>
        </w:rPr>
        <w:t>Background</w:t>
      </w:r>
    </w:p>
    <w:p w14:paraId="79D53C97" w14:textId="61C47AB9" w:rsidR="007944A6" w:rsidRPr="00787DB8" w:rsidRDefault="00B34ABB" w:rsidP="0042146F">
      <w:pPr>
        <w:widowControl w:val="0"/>
        <w:autoSpaceDE w:val="0"/>
        <w:autoSpaceDN w:val="0"/>
        <w:adjustRightInd w:val="0"/>
        <w:spacing w:after="120" w:line="300" w:lineRule="atLeast"/>
        <w:jc w:val="both"/>
        <w:rPr>
          <w:rFonts w:ascii="Times New Roman" w:hAnsi="Times New Roman" w:cs="Times New Roman"/>
          <w:color w:val="002060"/>
          <w:sz w:val="24"/>
          <w:szCs w:val="24"/>
          <w:lang w:val="en-US"/>
        </w:rPr>
      </w:pPr>
      <w:r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T</w:t>
      </w:r>
      <w:r w:rsidR="009D0662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amoxifen resistance </w:t>
      </w:r>
      <w:r w:rsidR="009D1DA4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(T</w:t>
      </w:r>
      <w:r w:rsidR="00034E6B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amR</w:t>
      </w:r>
      <w:r w:rsidR="009D1DA4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) </w:t>
      </w:r>
      <w:r w:rsidR="008D705A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in </w:t>
      </w:r>
      <w:r w:rsidR="00D06EAC" w:rsidRPr="00787DB8">
        <w:rPr>
          <w:rFonts w:ascii="Times New Roman" w:hAnsi="Times New Roman" w:cs="Times New Roman"/>
          <w:bCs/>
          <w:color w:val="002060"/>
          <w:sz w:val="24"/>
          <w:szCs w:val="24"/>
          <w:lang w:val="en-US"/>
        </w:rPr>
        <w:t xml:space="preserve">ERα-positive breast cancer </w:t>
      </w:r>
      <w:r w:rsidR="00AB388C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(BC) </w:t>
      </w:r>
      <w:r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remains </w:t>
      </w:r>
      <w:r w:rsidR="00EB4E10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a</w:t>
      </w:r>
      <w:r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 major therapeutic</w:t>
      </w:r>
      <w:r w:rsidR="00EC14EE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 </w:t>
      </w:r>
      <w:r w:rsidR="007D1845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challeng</w:t>
      </w:r>
      <w:r w:rsidR="00EB4E10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e</w:t>
      </w:r>
      <w:r w:rsidR="0042146F" w:rsidRPr="00787DB8">
        <w:rPr>
          <w:rFonts w:ascii="Times New Roman" w:hAnsi="Times New Roman" w:cs="Times New Roman"/>
          <w:color w:val="002060"/>
          <w:sz w:val="24"/>
          <w:szCs w:val="24"/>
          <w:lang w:val="en-US"/>
        </w:rPr>
        <w:t xml:space="preserve"> with many relapse cases</w:t>
      </w:r>
      <w:r w:rsidR="00CD05EB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. </w:t>
      </w:r>
      <w:r w:rsidR="005714A2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Insulin-like growth factor</w:t>
      </w:r>
      <w:r w:rsidR="00564B80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 binding protein</w:t>
      </w:r>
      <w:r w:rsidR="001632E2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s</w:t>
      </w:r>
      <w:r w:rsidR="00564B80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 (IGFBPs)</w:t>
      </w:r>
      <w:r w:rsidR="001632E2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 play a role in </w:t>
      </w:r>
      <w:r w:rsidR="00EB4E10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this </w:t>
      </w:r>
      <w:r w:rsidR="0042146F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>phenomena</w:t>
      </w:r>
      <w:r w:rsidR="007D1845" w:rsidRPr="00787DB8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. </w:t>
      </w:r>
      <w:r w:rsidR="002F5824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Previously, our </w:t>
      </w:r>
      <w:r w:rsidR="002F5824" w:rsidRPr="002F5824">
        <w:rPr>
          <w:rFonts w:ascii="Times New Roman" w:eastAsia="SimSun" w:hAnsi="Times New Roman" w:cs="Times New Roman"/>
          <w:color w:val="002060"/>
          <w:sz w:val="24"/>
          <w:szCs w:val="24"/>
        </w:rPr>
        <w:t>knockdown studies suggested that IGFBP-2 and IGFBP-5 could influence tamoxifen sensitivity in MCF-7 cells</w:t>
      </w:r>
      <w:r w:rsidR="009D0662" w:rsidRPr="00787DB8">
        <w:rPr>
          <w:rFonts w:ascii="Times New Roman" w:hAnsi="Times New Roman" w:cs="Times New Roman"/>
          <w:color w:val="002060"/>
          <w:sz w:val="24"/>
          <w:szCs w:val="24"/>
        </w:rPr>
        <w:t>.</w:t>
      </w:r>
      <w:r w:rsidR="002F5824" w:rsidRPr="002F5824">
        <w:rPr>
          <w:rFonts w:ascii="Arial" w:eastAsia="Times New Roman" w:hAnsi="Arial" w:cs="Arial"/>
        </w:rPr>
        <w:t xml:space="preserve"> </w:t>
      </w:r>
      <w:r w:rsidR="002F5824">
        <w:rPr>
          <w:rFonts w:ascii="Times New Roman" w:hAnsi="Times New Roman" w:cs="Times New Roman"/>
          <w:color w:val="002060"/>
          <w:sz w:val="24"/>
          <w:szCs w:val="24"/>
        </w:rPr>
        <w:t>Therefore, we</w:t>
      </w:r>
      <w:r w:rsidR="002F5824" w:rsidRPr="002F5824">
        <w:rPr>
          <w:rFonts w:ascii="Times New Roman" w:hAnsi="Times New Roman" w:cs="Times New Roman"/>
          <w:color w:val="002060"/>
          <w:sz w:val="24"/>
          <w:szCs w:val="24"/>
        </w:rPr>
        <w:t xml:space="preserve"> examine</w:t>
      </w:r>
      <w:r w:rsidR="002F5824">
        <w:rPr>
          <w:rFonts w:ascii="Times New Roman" w:hAnsi="Times New Roman" w:cs="Times New Roman"/>
          <w:color w:val="002060"/>
          <w:sz w:val="24"/>
          <w:szCs w:val="24"/>
        </w:rPr>
        <w:t>d</w:t>
      </w:r>
      <w:r w:rsidR="002F5824" w:rsidRPr="002F5824">
        <w:rPr>
          <w:rFonts w:ascii="Times New Roman" w:hAnsi="Times New Roman" w:cs="Times New Roman"/>
          <w:color w:val="002060"/>
          <w:sz w:val="24"/>
          <w:szCs w:val="24"/>
        </w:rPr>
        <w:t xml:space="preserve"> whether these effects could be replicated by the presence of exogenous IGFBPs</w:t>
      </w:r>
      <w:r w:rsidR="002F5824">
        <w:rPr>
          <w:rFonts w:ascii="Times New Roman" w:hAnsi="Times New Roman" w:cs="Times New Roman"/>
          <w:color w:val="002060"/>
          <w:sz w:val="24"/>
          <w:szCs w:val="24"/>
        </w:rPr>
        <w:t>.</w:t>
      </w:r>
    </w:p>
    <w:p w14:paraId="048252E9" w14:textId="77777777" w:rsidR="00877824" w:rsidRPr="00787DB8" w:rsidRDefault="00526412" w:rsidP="0042146F">
      <w:pPr>
        <w:spacing w:after="12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7DB8">
        <w:rPr>
          <w:rFonts w:ascii="Times New Roman" w:hAnsi="Times New Roman" w:cs="Times New Roman"/>
          <w:b/>
          <w:sz w:val="24"/>
          <w:szCs w:val="24"/>
        </w:rPr>
        <w:t>Methodology</w:t>
      </w:r>
    </w:p>
    <w:p w14:paraId="1C485A44" w14:textId="337583AF" w:rsidR="00D06EAC" w:rsidRPr="00AF55C1" w:rsidRDefault="002F5824" w:rsidP="0042146F">
      <w:pPr>
        <w:spacing w:after="120" w:line="36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>T</w:t>
      </w:r>
      <w:r w:rsidR="001177BC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amoxifen-resistant (Tam-S) </w:t>
      </w:r>
      <w:r w:rsidR="001249F7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MCF-7 </w:t>
      </w:r>
      <w:r w:rsidR="002513F5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cells </w:t>
      </w:r>
      <w:r w:rsidR="005F7B96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>and tamoxifen-resistant (Tam</w:t>
      </w:r>
      <w:r w:rsidR="005579B3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>-</w:t>
      </w:r>
      <w:r w:rsidR="005F7B96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R) </w:t>
      </w:r>
      <w:r w:rsidR="002513F5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variants </w:t>
      </w:r>
      <w:r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>were seeded at 5000/well in 96-well microtitre plates</w:t>
      </w:r>
      <w:r w:rsidR="00FA1213" w:rsidRPr="00AF55C1">
        <w:rPr>
          <w:rFonts w:ascii="Times New Roman" w:hAnsi="Times New Roman" w:cs="Times New Roman"/>
          <w:color w:val="002060"/>
          <w:sz w:val="24"/>
          <w:szCs w:val="24"/>
        </w:rPr>
        <w:t>,</w:t>
      </w:r>
      <w:r w:rsidR="00DF3EBF"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2D7450">
        <w:rPr>
          <w:rFonts w:ascii="Times New Roman" w:hAnsi="Times New Roman" w:cs="Times New Roman"/>
          <w:color w:val="002060"/>
          <w:sz w:val="24"/>
          <w:szCs w:val="24"/>
        </w:rPr>
        <w:t>treated with the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 concentrations </w:t>
      </w:r>
      <w:r w:rsidR="002D7450" w:rsidRPr="002D7450">
        <w:rPr>
          <w:rFonts w:ascii="Times New Roman" w:hAnsi="Times New Roman" w:cs="Times New Roman"/>
          <w:color w:val="002060"/>
          <w:sz w:val="24"/>
          <w:szCs w:val="24"/>
        </w:rPr>
        <w:t xml:space="preserve">range 0-100 nM 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of IGF-1, IGFPB-2 or -5 for 48 hrs </w:t>
      </w:r>
      <w:r w:rsidR="00DF3EBF"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and subsequent sensitivity to </w:t>
      </w:r>
      <w:r w:rsidR="00DF3EBF" w:rsidRPr="00AF55C1">
        <w:rPr>
          <w:rFonts w:ascii="Times New Roman" w:eastAsia="SimSun" w:hAnsi="Times New Roman" w:cs="Times New Roman"/>
          <w:color w:val="002060"/>
          <w:sz w:val="24"/>
          <w:szCs w:val="24"/>
        </w:rPr>
        <w:t xml:space="preserve">4-hydroxytamoxifen (4-HT) </w:t>
      </w:r>
      <w:r w:rsidR="00166B03" w:rsidRPr="00AF55C1">
        <w:rPr>
          <w:rFonts w:ascii="Times New Roman" w:hAnsi="Times New Roman" w:cs="Times New Roman"/>
          <w:color w:val="002060"/>
          <w:sz w:val="24"/>
          <w:szCs w:val="24"/>
        </w:rPr>
        <w:t>was determined via WST-1</w:t>
      </w:r>
      <w:r w:rsidR="00DF3EBF"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</w:p>
    <w:p w14:paraId="7DF8A48C" w14:textId="77777777" w:rsidR="00877824" w:rsidRPr="00787DB8" w:rsidRDefault="00526412" w:rsidP="0042146F">
      <w:pPr>
        <w:spacing w:after="120"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7DB8"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5A3B7503" w14:textId="4F309D13" w:rsidR="005579B3" w:rsidRPr="00AF55C1" w:rsidRDefault="005579B3" w:rsidP="002D7450">
      <w:pPr>
        <w:spacing w:after="120" w:line="36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AF55C1">
        <w:rPr>
          <w:rFonts w:ascii="Times New Roman" w:eastAsia="SimSun" w:hAnsi="Times New Roman" w:cs="Times New Roman"/>
          <w:bCs/>
          <w:color w:val="002060"/>
          <w:sz w:val="24"/>
          <w:szCs w:val="24"/>
          <w:lang w:val="en-US"/>
        </w:rPr>
        <w:t>Wt</w:t>
      </w:r>
      <w:r w:rsidRPr="00AF55C1">
        <w:rPr>
          <w:rFonts w:ascii="Times New Roman" w:eastAsia="SimSun" w:hAnsi="Times New Roman" w:cs="Times New Roman"/>
          <w:bCs/>
          <w:color w:val="002060"/>
          <w:sz w:val="24"/>
          <w:szCs w:val="24"/>
        </w:rPr>
        <w:t xml:space="preserve"> and Tam-R MCF-7 cells responded in a dose-dependent fashion to IGF-1</w:t>
      </w:r>
      <w:r w:rsidRPr="00AF55C1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Pr="00AF55C1">
        <w:rPr>
          <w:rFonts w:ascii="Times New Roman" w:eastAsia="SimSun" w:hAnsi="Times New Roman" w:cs="Times New Roman"/>
          <w:bCs/>
          <w:color w:val="002060"/>
          <w:sz w:val="24"/>
          <w:szCs w:val="24"/>
        </w:rPr>
        <w:t xml:space="preserve">over the concentration range 0-100 nM. 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A maximum response was at 10nM and cells responded to IGF-1 concentrations as low as 0.1 nM. </w:t>
      </w:r>
      <w:r w:rsidR="002D7450">
        <w:rPr>
          <w:rFonts w:ascii="Times New Roman" w:hAnsi="Times New Roman" w:cs="Times New Roman"/>
          <w:color w:val="002060"/>
          <w:sz w:val="24"/>
          <w:szCs w:val="24"/>
        </w:rPr>
        <w:t>W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>t cells were more sensitive to IGF-1 stimulation than TamR cells.</w:t>
      </w:r>
      <w:r w:rsidRPr="00AF55C1">
        <w:rPr>
          <w:rFonts w:ascii="Times New Roman" w:eastAsia="Times New Roman" w:hAnsi="Times New Roman" w:cs="Times New Roman"/>
          <w:color w:val="002060"/>
          <w:sz w:val="24"/>
          <w:szCs w:val="24"/>
        </w:rPr>
        <w:t xml:space="preserve"> 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IGFBP-2 </w:t>
      </w:r>
      <w:r w:rsidR="002D7450">
        <w:rPr>
          <w:rFonts w:ascii="Times New Roman" w:hAnsi="Times New Roman" w:cs="Times New Roman"/>
          <w:color w:val="002060"/>
          <w:sz w:val="24"/>
          <w:szCs w:val="24"/>
        </w:rPr>
        <w:t>has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 no consistent dose-dependent effect of binding protein in either wt or TamR cells. </w:t>
      </w:r>
      <w:r w:rsidR="002D7450">
        <w:rPr>
          <w:rFonts w:ascii="Times New Roman" w:hAnsi="Times New Roman" w:cs="Times New Roman"/>
          <w:color w:val="002060"/>
          <w:sz w:val="24"/>
          <w:szCs w:val="24"/>
        </w:rPr>
        <w:t>IGFBP-5 has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 xml:space="preserve"> a stimul</w:t>
      </w:r>
      <w:r w:rsidR="002D7450">
        <w:rPr>
          <w:rFonts w:ascii="Times New Roman" w:hAnsi="Times New Roman" w:cs="Times New Roman"/>
          <w:color w:val="002060"/>
          <w:sz w:val="24"/>
          <w:szCs w:val="24"/>
        </w:rPr>
        <w:t>atory effect on both cell lines</w:t>
      </w:r>
      <w:r w:rsidRPr="00AF55C1">
        <w:rPr>
          <w:rFonts w:ascii="Times New Roman" w:hAnsi="Times New Roman" w:cs="Times New Roman"/>
          <w:color w:val="002060"/>
          <w:sz w:val="24"/>
          <w:szCs w:val="24"/>
        </w:rPr>
        <w:t>. IGF-1 ± IGFBP-2, analysis indicated a significant inhibition of IGF-1 activity at each concentration of growth factor in the presence of 10nM IGFBP-2 (p&lt;0.001).</w:t>
      </w:r>
    </w:p>
    <w:p w14:paraId="69F2956A" w14:textId="532DEE62" w:rsidR="0042146F" w:rsidRPr="005579B3" w:rsidRDefault="005579B3" w:rsidP="0042146F">
      <w:pPr>
        <w:spacing w:after="12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79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 </w:t>
      </w:r>
    </w:p>
    <w:p w14:paraId="1B3F4828" w14:textId="3DB3205C" w:rsidR="00E119C5" w:rsidRPr="00787DB8" w:rsidRDefault="005579B3" w:rsidP="0042146F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2060"/>
          <w:sz w:val="24"/>
          <w:szCs w:val="24"/>
        </w:rPr>
        <w:t>N</w:t>
      </w:r>
      <w:r w:rsidRPr="005579B3">
        <w:rPr>
          <w:rFonts w:ascii="Times New Roman" w:hAnsi="Times New Roman" w:cs="Times New Roman"/>
          <w:bCs/>
          <w:color w:val="002060"/>
          <w:sz w:val="24"/>
          <w:szCs w:val="24"/>
        </w:rPr>
        <w:t>either extracellular IGFBP-2 nor IGFBP-5 affected tamoxifen sensitivity in either wt or TamR cells</w:t>
      </w:r>
      <w:r w:rsidR="00CB0C77" w:rsidRPr="00787DB8">
        <w:rPr>
          <w:rFonts w:ascii="Times New Roman" w:hAnsi="Times New Roman" w:cs="Times New Roman"/>
          <w:bCs/>
          <w:color w:val="002060"/>
          <w:sz w:val="24"/>
          <w:szCs w:val="24"/>
          <w:lang w:val="en-US"/>
        </w:rPr>
        <w:t>.</w:t>
      </w:r>
    </w:p>
    <w:sectPr w:rsidR="00E119C5" w:rsidRPr="00787DB8" w:rsidSect="00CB0C77">
      <w:pgSz w:w="11906" w:h="16838"/>
      <w:pgMar w:top="397" w:right="1133" w:bottom="29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71ADA" w14:textId="77777777" w:rsidR="007E76FA" w:rsidRDefault="007E76FA" w:rsidP="004B67F8">
      <w:pPr>
        <w:spacing w:after="0" w:line="240" w:lineRule="auto"/>
      </w:pPr>
      <w:r>
        <w:separator/>
      </w:r>
    </w:p>
  </w:endnote>
  <w:endnote w:type="continuationSeparator" w:id="0">
    <w:p w14:paraId="39D3D22C" w14:textId="77777777" w:rsidR="007E76FA" w:rsidRDefault="007E76FA" w:rsidP="004B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6E612" w14:textId="77777777" w:rsidR="007E76FA" w:rsidRDefault="007E76FA" w:rsidP="004B67F8">
      <w:pPr>
        <w:spacing w:after="0" w:line="240" w:lineRule="auto"/>
      </w:pPr>
      <w:r>
        <w:separator/>
      </w:r>
    </w:p>
  </w:footnote>
  <w:footnote w:type="continuationSeparator" w:id="0">
    <w:p w14:paraId="50033DCB" w14:textId="77777777" w:rsidR="007E76FA" w:rsidRDefault="007E76FA" w:rsidP="004B6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12AF9"/>
    <w:multiLevelType w:val="hybridMultilevel"/>
    <w:tmpl w:val="8292B224"/>
    <w:lvl w:ilvl="0" w:tplc="48A2C0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967AF7"/>
    <w:multiLevelType w:val="hybridMultilevel"/>
    <w:tmpl w:val="FD148204"/>
    <w:lvl w:ilvl="0" w:tplc="3B4E90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824"/>
    <w:rsid w:val="000228F6"/>
    <w:rsid w:val="00034E6B"/>
    <w:rsid w:val="00040602"/>
    <w:rsid w:val="000438D7"/>
    <w:rsid w:val="00061D68"/>
    <w:rsid w:val="00062A4E"/>
    <w:rsid w:val="0009477A"/>
    <w:rsid w:val="000B6622"/>
    <w:rsid w:val="000B6C5C"/>
    <w:rsid w:val="000C0DB8"/>
    <w:rsid w:val="000C77DD"/>
    <w:rsid w:val="000D2655"/>
    <w:rsid w:val="001177BC"/>
    <w:rsid w:val="001249F7"/>
    <w:rsid w:val="00150D43"/>
    <w:rsid w:val="001632E2"/>
    <w:rsid w:val="00164518"/>
    <w:rsid w:val="00166B03"/>
    <w:rsid w:val="00183152"/>
    <w:rsid w:val="00184779"/>
    <w:rsid w:val="001D68AB"/>
    <w:rsid w:val="001F432C"/>
    <w:rsid w:val="00231381"/>
    <w:rsid w:val="002513F5"/>
    <w:rsid w:val="002829F2"/>
    <w:rsid w:val="002913B5"/>
    <w:rsid w:val="002B149C"/>
    <w:rsid w:val="002B2A73"/>
    <w:rsid w:val="002B4E39"/>
    <w:rsid w:val="002C761B"/>
    <w:rsid w:val="002D7450"/>
    <w:rsid w:val="002F5824"/>
    <w:rsid w:val="0031308A"/>
    <w:rsid w:val="00323728"/>
    <w:rsid w:val="00341FAD"/>
    <w:rsid w:val="00345416"/>
    <w:rsid w:val="0035244B"/>
    <w:rsid w:val="003608B5"/>
    <w:rsid w:val="0036539E"/>
    <w:rsid w:val="00383F18"/>
    <w:rsid w:val="00394FE7"/>
    <w:rsid w:val="003C134E"/>
    <w:rsid w:val="003D3849"/>
    <w:rsid w:val="003D6D7C"/>
    <w:rsid w:val="003E736C"/>
    <w:rsid w:val="003E7D5B"/>
    <w:rsid w:val="003F36F5"/>
    <w:rsid w:val="0042018B"/>
    <w:rsid w:val="0042146F"/>
    <w:rsid w:val="0043020D"/>
    <w:rsid w:val="00437B3C"/>
    <w:rsid w:val="004736F1"/>
    <w:rsid w:val="004775AE"/>
    <w:rsid w:val="00496BFB"/>
    <w:rsid w:val="004A0323"/>
    <w:rsid w:val="004A3FB2"/>
    <w:rsid w:val="004B04F6"/>
    <w:rsid w:val="004B67F8"/>
    <w:rsid w:val="004C7935"/>
    <w:rsid w:val="004D547F"/>
    <w:rsid w:val="004F46E9"/>
    <w:rsid w:val="004F506D"/>
    <w:rsid w:val="0050019E"/>
    <w:rsid w:val="00526412"/>
    <w:rsid w:val="005579B3"/>
    <w:rsid w:val="00564B80"/>
    <w:rsid w:val="005714A2"/>
    <w:rsid w:val="0057395B"/>
    <w:rsid w:val="00582F74"/>
    <w:rsid w:val="00592D13"/>
    <w:rsid w:val="005965CA"/>
    <w:rsid w:val="005C0B8A"/>
    <w:rsid w:val="005D02DC"/>
    <w:rsid w:val="005F7B96"/>
    <w:rsid w:val="00606DB6"/>
    <w:rsid w:val="006072D6"/>
    <w:rsid w:val="006576D3"/>
    <w:rsid w:val="00691C7A"/>
    <w:rsid w:val="00696480"/>
    <w:rsid w:val="006C0D43"/>
    <w:rsid w:val="006D1587"/>
    <w:rsid w:val="006D20FF"/>
    <w:rsid w:val="007433F7"/>
    <w:rsid w:val="00787DB8"/>
    <w:rsid w:val="007944A6"/>
    <w:rsid w:val="00797A1E"/>
    <w:rsid w:val="007C3A8D"/>
    <w:rsid w:val="007C7F35"/>
    <w:rsid w:val="007D1845"/>
    <w:rsid w:val="007E182B"/>
    <w:rsid w:val="007E76FA"/>
    <w:rsid w:val="00810639"/>
    <w:rsid w:val="00813703"/>
    <w:rsid w:val="00817A81"/>
    <w:rsid w:val="00826D15"/>
    <w:rsid w:val="00826E2D"/>
    <w:rsid w:val="00872EC7"/>
    <w:rsid w:val="00877824"/>
    <w:rsid w:val="008861D9"/>
    <w:rsid w:val="008C3D18"/>
    <w:rsid w:val="008D705A"/>
    <w:rsid w:val="00942458"/>
    <w:rsid w:val="009744F2"/>
    <w:rsid w:val="009847A3"/>
    <w:rsid w:val="009D0662"/>
    <w:rsid w:val="009D1DA4"/>
    <w:rsid w:val="009F0D2B"/>
    <w:rsid w:val="009F4638"/>
    <w:rsid w:val="00A11E2A"/>
    <w:rsid w:val="00A13637"/>
    <w:rsid w:val="00A1526E"/>
    <w:rsid w:val="00A31A4B"/>
    <w:rsid w:val="00A378F9"/>
    <w:rsid w:val="00A62DB0"/>
    <w:rsid w:val="00A810C5"/>
    <w:rsid w:val="00A91DD4"/>
    <w:rsid w:val="00AA64F8"/>
    <w:rsid w:val="00AB388C"/>
    <w:rsid w:val="00AC2B87"/>
    <w:rsid w:val="00AC7764"/>
    <w:rsid w:val="00AD77CA"/>
    <w:rsid w:val="00AE45B5"/>
    <w:rsid w:val="00AE6AA5"/>
    <w:rsid w:val="00AF55C1"/>
    <w:rsid w:val="00AF6877"/>
    <w:rsid w:val="00B17964"/>
    <w:rsid w:val="00B34ABB"/>
    <w:rsid w:val="00B43647"/>
    <w:rsid w:val="00B5244E"/>
    <w:rsid w:val="00B612E8"/>
    <w:rsid w:val="00B743E0"/>
    <w:rsid w:val="00B84A7D"/>
    <w:rsid w:val="00B92CFE"/>
    <w:rsid w:val="00BE6DFA"/>
    <w:rsid w:val="00C11B1A"/>
    <w:rsid w:val="00C153A9"/>
    <w:rsid w:val="00C176EF"/>
    <w:rsid w:val="00C34743"/>
    <w:rsid w:val="00C37D2C"/>
    <w:rsid w:val="00C46F1A"/>
    <w:rsid w:val="00C74C60"/>
    <w:rsid w:val="00CB0C77"/>
    <w:rsid w:val="00CB5156"/>
    <w:rsid w:val="00CC7BF0"/>
    <w:rsid w:val="00CD05EB"/>
    <w:rsid w:val="00CE2256"/>
    <w:rsid w:val="00CF48BD"/>
    <w:rsid w:val="00D06EAC"/>
    <w:rsid w:val="00D1267C"/>
    <w:rsid w:val="00D31301"/>
    <w:rsid w:val="00D346DC"/>
    <w:rsid w:val="00D34955"/>
    <w:rsid w:val="00D36D47"/>
    <w:rsid w:val="00D852B8"/>
    <w:rsid w:val="00DA2255"/>
    <w:rsid w:val="00DA22E7"/>
    <w:rsid w:val="00DE1177"/>
    <w:rsid w:val="00DF3EBF"/>
    <w:rsid w:val="00DF74DC"/>
    <w:rsid w:val="00E01264"/>
    <w:rsid w:val="00E04E97"/>
    <w:rsid w:val="00E119C5"/>
    <w:rsid w:val="00E3298A"/>
    <w:rsid w:val="00E52059"/>
    <w:rsid w:val="00E72BFC"/>
    <w:rsid w:val="00E863CA"/>
    <w:rsid w:val="00EB4E10"/>
    <w:rsid w:val="00EC14EE"/>
    <w:rsid w:val="00EC1BC3"/>
    <w:rsid w:val="00ED1779"/>
    <w:rsid w:val="00ED4B17"/>
    <w:rsid w:val="00ED507A"/>
    <w:rsid w:val="00ED582A"/>
    <w:rsid w:val="00EE6F13"/>
    <w:rsid w:val="00F0116C"/>
    <w:rsid w:val="00F20485"/>
    <w:rsid w:val="00F41B22"/>
    <w:rsid w:val="00F47EE8"/>
    <w:rsid w:val="00F63BA8"/>
    <w:rsid w:val="00F65CC9"/>
    <w:rsid w:val="00F8350A"/>
    <w:rsid w:val="00F95586"/>
    <w:rsid w:val="00FA1213"/>
    <w:rsid w:val="00FA78D3"/>
    <w:rsid w:val="00FC275B"/>
    <w:rsid w:val="00FD4155"/>
    <w:rsid w:val="00FE2DF4"/>
    <w:rsid w:val="00FF12A0"/>
    <w:rsid w:val="00F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CF7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313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31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1301"/>
    <w:rPr>
      <w:b/>
      <w:bCs/>
    </w:rPr>
  </w:style>
  <w:style w:type="character" w:customStyle="1" w:styleId="apple-converted-space">
    <w:name w:val="apple-converted-space"/>
    <w:basedOn w:val="DefaultParagraphFont"/>
    <w:rsid w:val="00D31301"/>
  </w:style>
  <w:style w:type="character" w:customStyle="1" w:styleId="i810j1">
    <w:name w:val="i810j1"/>
    <w:basedOn w:val="DefaultParagraphFont"/>
    <w:rsid w:val="00D31301"/>
  </w:style>
  <w:style w:type="paragraph" w:styleId="BalloonText">
    <w:name w:val="Balloon Text"/>
    <w:basedOn w:val="Normal"/>
    <w:link w:val="BalloonTextChar"/>
    <w:uiPriority w:val="99"/>
    <w:semiHidden/>
    <w:unhideWhenUsed/>
    <w:rsid w:val="00D31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3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6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7F8"/>
  </w:style>
  <w:style w:type="paragraph" w:styleId="Footer">
    <w:name w:val="footer"/>
    <w:basedOn w:val="Normal"/>
    <w:link w:val="FooterChar"/>
    <w:uiPriority w:val="99"/>
    <w:unhideWhenUsed/>
    <w:rsid w:val="004B67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7F8"/>
  </w:style>
  <w:style w:type="paragraph" w:styleId="ListParagraph">
    <w:name w:val="List Paragraph"/>
    <w:basedOn w:val="Normal"/>
    <w:uiPriority w:val="34"/>
    <w:qFormat/>
    <w:rsid w:val="00AC2B87"/>
    <w:pPr>
      <w:ind w:left="720"/>
      <w:contextualSpacing/>
    </w:pPr>
    <w:rPr>
      <w:rFonts w:cs="Mangal"/>
    </w:rPr>
  </w:style>
  <w:style w:type="character" w:styleId="CommentReference">
    <w:name w:val="annotation reference"/>
    <w:basedOn w:val="DefaultParagraphFont"/>
    <w:uiPriority w:val="99"/>
    <w:semiHidden/>
    <w:unhideWhenUsed/>
    <w:rsid w:val="00F835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50A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50A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5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50A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1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8671">
          <w:marLeft w:val="0"/>
          <w:marRight w:val="0"/>
          <w:marTop w:val="188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27516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3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9F32E-001A-4F72-99CF-4552D77AF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HAWSAWI, YOUSEF MOHAMMED</cp:lastModifiedBy>
  <cp:revision>2</cp:revision>
  <dcterms:created xsi:type="dcterms:W3CDTF">2017-07-12T11:13:00Z</dcterms:created>
  <dcterms:modified xsi:type="dcterms:W3CDTF">2017-07-12T11:13:00Z</dcterms:modified>
</cp:coreProperties>
</file>