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0FF" w:rsidRDefault="005F20FF" w:rsidP="005F20FF">
      <w:pPr>
        <w:ind w:left="3119" w:hanging="3261"/>
        <w:jc w:val="center"/>
        <w:rPr>
          <w:rFonts w:asciiTheme="majorBidi" w:hAnsiTheme="majorBidi" w:cstheme="majorBidi"/>
          <w:b/>
          <w:bCs/>
          <w:sz w:val="24"/>
          <w:szCs w:val="24"/>
        </w:rPr>
      </w:pPr>
      <w:r w:rsidRPr="00025C33">
        <w:rPr>
          <w:rFonts w:asciiTheme="majorBidi" w:hAnsiTheme="majorBidi" w:cstheme="majorBidi"/>
          <w:b/>
          <w:bCs/>
          <w:sz w:val="24"/>
          <w:szCs w:val="24"/>
        </w:rPr>
        <w:t>ABSTRACT</w:t>
      </w:r>
    </w:p>
    <w:p w:rsidR="005F20FF" w:rsidRPr="00DC0921" w:rsidRDefault="005F20FF" w:rsidP="005F20FF">
      <w:pPr>
        <w:jc w:val="center"/>
        <w:rPr>
          <w:rFonts w:asciiTheme="majorBidi" w:hAnsiTheme="majorBidi" w:cstheme="majorBidi"/>
          <w:sz w:val="24"/>
          <w:szCs w:val="24"/>
        </w:rPr>
      </w:pPr>
      <w:r w:rsidRPr="00DC0921">
        <w:rPr>
          <w:rFonts w:asciiTheme="majorBidi" w:hAnsiTheme="majorBidi" w:cstheme="majorBidi"/>
          <w:sz w:val="24"/>
          <w:szCs w:val="24"/>
        </w:rPr>
        <w:t>The American University in Cairo</w:t>
      </w:r>
    </w:p>
    <w:p w:rsidR="005F20FF" w:rsidRPr="00B53952" w:rsidRDefault="005F20FF" w:rsidP="005F20FF">
      <w:pPr>
        <w:spacing w:after="211"/>
        <w:jc w:val="center"/>
        <w:rPr>
          <w:rFonts w:asciiTheme="majorBidi" w:hAnsiTheme="majorBidi" w:cstheme="majorBidi"/>
          <w:b/>
          <w:bCs/>
          <w:color w:val="000000"/>
          <w:sz w:val="24"/>
          <w:szCs w:val="24"/>
        </w:rPr>
      </w:pPr>
      <w:r w:rsidRPr="00B53952">
        <w:rPr>
          <w:rFonts w:asciiTheme="majorBidi" w:hAnsiTheme="majorBidi" w:cstheme="majorBidi"/>
          <w:b/>
          <w:bCs/>
          <w:color w:val="000000"/>
          <w:sz w:val="24"/>
          <w:szCs w:val="24"/>
        </w:rPr>
        <w:t xml:space="preserve">Overexpression of </w:t>
      </w:r>
      <w:r w:rsidRPr="00B53952">
        <w:rPr>
          <w:rFonts w:asciiTheme="majorBidi" w:hAnsiTheme="majorBidi" w:cstheme="majorBidi"/>
          <w:b/>
          <w:bCs/>
          <w:sz w:val="24"/>
          <w:szCs w:val="24"/>
        </w:rPr>
        <w:t xml:space="preserve">Cofactor of BRCA1 in HepG2 Cells: A Step </w:t>
      </w:r>
      <w:proofErr w:type="gramStart"/>
      <w:r w:rsidRPr="00B53952">
        <w:rPr>
          <w:rFonts w:asciiTheme="majorBidi" w:hAnsiTheme="majorBidi" w:cstheme="majorBidi"/>
          <w:b/>
          <w:bCs/>
          <w:sz w:val="24"/>
          <w:szCs w:val="24"/>
        </w:rPr>
        <w:t>Towards</w:t>
      </w:r>
      <w:proofErr w:type="gramEnd"/>
      <w:r w:rsidRPr="00B53952">
        <w:rPr>
          <w:rFonts w:asciiTheme="majorBidi" w:hAnsiTheme="majorBidi" w:cstheme="majorBidi"/>
          <w:b/>
          <w:bCs/>
          <w:sz w:val="24"/>
          <w:szCs w:val="24"/>
        </w:rPr>
        <w:t xml:space="preserve"> Understanding the Role of COBRA1 in Hepatocellular Carcinoma</w:t>
      </w:r>
    </w:p>
    <w:p w:rsidR="005F20FF" w:rsidRPr="00A071D2" w:rsidRDefault="005F20FF" w:rsidP="005F20FF">
      <w:pPr>
        <w:jc w:val="center"/>
        <w:rPr>
          <w:rFonts w:asciiTheme="majorBidi" w:hAnsiTheme="majorBidi" w:cstheme="majorBidi"/>
          <w:sz w:val="24"/>
          <w:szCs w:val="24"/>
        </w:rPr>
      </w:pPr>
      <w:r w:rsidRPr="00DC0921">
        <w:rPr>
          <w:rFonts w:asciiTheme="majorBidi" w:hAnsiTheme="majorBidi" w:cstheme="majorBidi"/>
          <w:sz w:val="24"/>
          <w:szCs w:val="24"/>
        </w:rPr>
        <w:t>By</w:t>
      </w:r>
      <w:r>
        <w:rPr>
          <w:rFonts w:asciiTheme="majorBidi" w:hAnsiTheme="majorBidi" w:cstheme="majorBidi"/>
          <w:sz w:val="24"/>
          <w:szCs w:val="24"/>
        </w:rPr>
        <w:t xml:space="preserve"> Razan Jamil Masad</w:t>
      </w:r>
    </w:p>
    <w:p w:rsidR="005F20FF" w:rsidRDefault="005F20FF" w:rsidP="005F20FF">
      <w:pPr>
        <w:jc w:val="center"/>
        <w:rPr>
          <w:rFonts w:asciiTheme="majorBidi" w:hAnsiTheme="majorBidi" w:cstheme="majorBidi"/>
          <w:sz w:val="24"/>
          <w:szCs w:val="24"/>
        </w:rPr>
      </w:pPr>
      <w:r>
        <w:rPr>
          <w:rFonts w:asciiTheme="majorBidi" w:hAnsiTheme="majorBidi" w:cstheme="majorBidi"/>
          <w:noProof/>
          <w:sz w:val="24"/>
          <w:szCs w:val="24"/>
          <w:lang w:eastAsia="en-GB"/>
        </w:rPr>
        <mc:AlternateContent>
          <mc:Choice Requires="wps">
            <w:drawing>
              <wp:anchor distT="0" distB="0" distL="114300" distR="114300" simplePos="0" relativeHeight="251659264" behindDoc="0" locked="0" layoutInCell="1" allowOverlap="1" wp14:anchorId="4A386345" wp14:editId="70453DC8">
                <wp:simplePos x="0" y="0"/>
                <wp:positionH relativeFrom="margin">
                  <wp:align>left</wp:align>
                </wp:positionH>
                <wp:positionV relativeFrom="paragraph">
                  <wp:posOffset>263525</wp:posOffset>
                </wp:positionV>
                <wp:extent cx="5276850" cy="6350"/>
                <wp:effectExtent l="0" t="0" r="19050" b="31750"/>
                <wp:wrapNone/>
                <wp:docPr id="13" name="Straight Connector 13"/>
                <wp:cNvGraphicFramePr/>
                <a:graphic xmlns:a="http://schemas.openxmlformats.org/drawingml/2006/main">
                  <a:graphicData uri="http://schemas.microsoft.com/office/word/2010/wordprocessingShape">
                    <wps:wsp>
                      <wps:cNvCnPr/>
                      <wps:spPr>
                        <a:xfrm flipV="1">
                          <a:off x="0" y="0"/>
                          <a:ext cx="5276850" cy="635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F4D104" id="Straight Connector 13"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0.75pt" to="415.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" strokecolor="#5b9bd5 [3204]" strokeweight="1pt">
                <v:stroke joinstyle="miter"/>
                <w10:wrap anchorx="margin"/>
              </v:line>
            </w:pict>
          </mc:Fallback>
        </mc:AlternateContent>
      </w:r>
      <w:r w:rsidRPr="00C44C43">
        <w:rPr>
          <w:rFonts w:asciiTheme="majorBidi" w:hAnsiTheme="majorBidi" w:cstheme="majorBidi"/>
          <w:sz w:val="24"/>
          <w:szCs w:val="24"/>
        </w:rPr>
        <w:t>Under the supervision of</w:t>
      </w:r>
      <w:r w:rsidRPr="00A071D2">
        <w:rPr>
          <w:rFonts w:asciiTheme="majorBidi" w:hAnsiTheme="majorBidi" w:cstheme="majorBidi"/>
          <w:sz w:val="24"/>
          <w:szCs w:val="24"/>
        </w:rPr>
        <w:t xml:space="preserve"> </w:t>
      </w:r>
      <w:proofErr w:type="spellStart"/>
      <w:r w:rsidRPr="00DC0921">
        <w:rPr>
          <w:rFonts w:asciiTheme="majorBidi" w:hAnsiTheme="majorBidi" w:cstheme="majorBidi"/>
          <w:sz w:val="24"/>
          <w:szCs w:val="24"/>
        </w:rPr>
        <w:t>Dr.</w:t>
      </w:r>
      <w:proofErr w:type="spellEnd"/>
      <w:r w:rsidRPr="00DC0921">
        <w:rPr>
          <w:rFonts w:asciiTheme="majorBidi" w:hAnsiTheme="majorBidi" w:cstheme="majorBidi"/>
          <w:sz w:val="24"/>
          <w:szCs w:val="24"/>
        </w:rPr>
        <w:t xml:space="preserve"> </w:t>
      </w:r>
      <w:proofErr w:type="spellStart"/>
      <w:r w:rsidRPr="00DC0921">
        <w:rPr>
          <w:rFonts w:asciiTheme="majorBidi" w:hAnsiTheme="majorBidi" w:cstheme="majorBidi"/>
          <w:sz w:val="24"/>
          <w:szCs w:val="24"/>
        </w:rPr>
        <w:t>Asma</w:t>
      </w:r>
      <w:proofErr w:type="spellEnd"/>
      <w:r w:rsidRPr="00DC0921">
        <w:rPr>
          <w:rFonts w:asciiTheme="majorBidi" w:hAnsiTheme="majorBidi" w:cstheme="majorBidi"/>
          <w:sz w:val="24"/>
          <w:szCs w:val="24"/>
        </w:rPr>
        <w:t xml:space="preserve"> </w:t>
      </w:r>
      <w:proofErr w:type="spellStart"/>
      <w:r w:rsidRPr="00DC0921">
        <w:rPr>
          <w:rFonts w:asciiTheme="majorBidi" w:hAnsiTheme="majorBidi" w:cstheme="majorBidi"/>
          <w:sz w:val="24"/>
          <w:szCs w:val="24"/>
        </w:rPr>
        <w:t>Amleh</w:t>
      </w:r>
      <w:proofErr w:type="spellEnd"/>
    </w:p>
    <w:p w:rsidR="005F20FF" w:rsidRDefault="005F20FF" w:rsidP="005F20FF">
      <w:pPr>
        <w:pStyle w:val="CommentText"/>
        <w:jc w:val="both"/>
        <w:rPr>
          <w:rFonts w:asciiTheme="majorBidi" w:hAnsiTheme="majorBidi" w:cstheme="majorBidi"/>
          <w:color w:val="000000" w:themeColor="text1"/>
          <w:shd w:val="clear" w:color="auto" w:fill="FFFFFF"/>
        </w:rPr>
      </w:pPr>
      <w:r w:rsidRPr="00A95497">
        <w:rPr>
          <w:rFonts w:asciiTheme="majorBidi" w:hAnsiTheme="majorBidi" w:cstheme="majorBidi"/>
          <w:color w:val="000000" w:themeColor="text1"/>
        </w:rPr>
        <w:t xml:space="preserve">Cofactor of BRCA1 (COBRA1) is a BRCA-1 interacting protein that represents one of the four subunits of the negative elongation factor (NELF) complex. </w:t>
      </w:r>
      <w:r w:rsidRPr="00E17D7F">
        <w:rPr>
          <w:rFonts w:asciiTheme="majorBidi" w:hAnsiTheme="majorBidi" w:cstheme="majorBidi"/>
          <w:color w:val="000000" w:themeColor="text1"/>
        </w:rPr>
        <w:t>NELF is known by its ability to stall RNA Polymerase II during the early phase of transcription elongation, resulting in repressed transcription of several genes including ones associated with tumorigenesis of different cancer types. While it was found to be down-regulated in breast cancer, COBRA1 was found to be up-regulated in the upper gastrointestinal carc</w:t>
      </w:r>
      <w:r>
        <w:rPr>
          <w:rFonts w:asciiTheme="majorBidi" w:hAnsiTheme="majorBidi" w:cstheme="majorBidi"/>
          <w:color w:val="000000" w:themeColor="text1"/>
        </w:rPr>
        <w:t xml:space="preserve">inoma. </w:t>
      </w:r>
      <w:r w:rsidRPr="00E17D7F">
        <w:rPr>
          <w:rFonts w:asciiTheme="majorBidi" w:hAnsiTheme="majorBidi" w:cstheme="majorBidi"/>
          <w:color w:val="000000" w:themeColor="text1"/>
        </w:rPr>
        <w:t>Up to date, the role of COBRA1 in hepatocellular carcinoma (HCC) is unclear. We have</w:t>
      </w:r>
      <w:r>
        <w:rPr>
          <w:rFonts w:asciiTheme="majorBidi" w:hAnsiTheme="majorBidi" w:cstheme="majorBidi"/>
          <w:color w:val="000000" w:themeColor="text1"/>
        </w:rPr>
        <w:t xml:space="preserve"> p</w:t>
      </w:r>
      <w:r w:rsidRPr="00A95497">
        <w:rPr>
          <w:rFonts w:asciiTheme="majorBidi" w:hAnsiTheme="majorBidi" w:cstheme="majorBidi"/>
          <w:color w:val="000000" w:themeColor="text1"/>
        </w:rPr>
        <w:t xml:space="preserve">reviously demonstrated that </w:t>
      </w:r>
      <w:r>
        <w:rPr>
          <w:rFonts w:asciiTheme="majorBidi" w:hAnsiTheme="majorBidi" w:cstheme="majorBidi"/>
          <w:color w:val="000000" w:themeColor="text1"/>
        </w:rPr>
        <w:t>silencing of</w:t>
      </w:r>
      <w:r w:rsidRPr="00A95497">
        <w:rPr>
          <w:rFonts w:asciiTheme="majorBidi" w:hAnsiTheme="majorBidi" w:cstheme="majorBidi"/>
          <w:color w:val="000000" w:themeColor="text1"/>
        </w:rPr>
        <w:t xml:space="preserve"> COBRA1 </w:t>
      </w:r>
      <w:r>
        <w:rPr>
          <w:rFonts w:asciiTheme="majorBidi" w:hAnsiTheme="majorBidi" w:cstheme="majorBidi"/>
          <w:color w:val="000000" w:themeColor="text1"/>
        </w:rPr>
        <w:t xml:space="preserve">in the HCC cell line HepG2, </w:t>
      </w:r>
      <w:r w:rsidRPr="00A95497">
        <w:rPr>
          <w:rFonts w:asciiTheme="majorBidi" w:hAnsiTheme="majorBidi" w:cstheme="majorBidi"/>
          <w:color w:val="000000" w:themeColor="text1"/>
        </w:rPr>
        <w:t>significantly inhibited the proliferation and mig</w:t>
      </w:r>
      <w:r>
        <w:rPr>
          <w:rFonts w:asciiTheme="majorBidi" w:hAnsiTheme="majorBidi" w:cstheme="majorBidi"/>
          <w:color w:val="000000" w:themeColor="text1"/>
        </w:rPr>
        <w:t xml:space="preserve">ration potentials of the cells. </w:t>
      </w:r>
      <w:r w:rsidRPr="00A95497">
        <w:rPr>
          <w:rFonts w:asciiTheme="majorBidi" w:hAnsiTheme="majorBidi" w:cstheme="majorBidi"/>
          <w:color w:val="000000" w:themeColor="text1"/>
        </w:rPr>
        <w:t>Here, we investigated the effect of ectopic expression of COBRA1 on HepG2 cells proliferation and migration.</w:t>
      </w:r>
      <w:r>
        <w:rPr>
          <w:rFonts w:asciiTheme="majorBidi" w:hAnsiTheme="majorBidi" w:cstheme="majorBidi"/>
          <w:color w:val="000000" w:themeColor="text1"/>
        </w:rPr>
        <w:t xml:space="preserve"> </w:t>
      </w:r>
      <w:proofErr w:type="spellStart"/>
      <w:r w:rsidRPr="00A95497">
        <w:rPr>
          <w:rFonts w:asciiTheme="majorBidi" w:hAnsiTheme="majorBidi" w:cstheme="majorBidi"/>
          <w:color w:val="000000" w:themeColor="text1"/>
        </w:rPr>
        <w:t>Lipofectamine</w:t>
      </w:r>
      <w:proofErr w:type="spellEnd"/>
      <w:r w:rsidRPr="00A95497">
        <w:rPr>
          <w:rFonts w:asciiTheme="majorBidi" w:hAnsiTheme="majorBidi" w:cstheme="majorBidi"/>
          <w:color w:val="000000" w:themeColor="text1"/>
        </w:rPr>
        <w:t xml:space="preserve"> 3000 was used to transfect HepG2 cells with </w:t>
      </w:r>
      <w:r>
        <w:rPr>
          <w:rFonts w:asciiTheme="majorBidi" w:hAnsiTheme="majorBidi" w:cstheme="majorBidi"/>
          <w:color w:val="000000" w:themeColor="text1"/>
        </w:rPr>
        <w:t xml:space="preserve">a </w:t>
      </w:r>
      <w:r w:rsidRPr="00A95497">
        <w:rPr>
          <w:rFonts w:asciiTheme="majorBidi" w:hAnsiTheme="majorBidi" w:cstheme="majorBidi"/>
          <w:color w:val="000000" w:themeColor="text1"/>
        </w:rPr>
        <w:t xml:space="preserve">pCMV5-HCOBRA1 plasmid. The transfection efficiency was determined by the percentage of EGFP positive cells (pEGFP-N1+) via fluorescent microscope, </w:t>
      </w:r>
      <w:r>
        <w:rPr>
          <w:rFonts w:asciiTheme="majorBidi" w:hAnsiTheme="majorBidi" w:cstheme="majorBidi"/>
          <w:color w:val="000000" w:themeColor="text1"/>
        </w:rPr>
        <w:t xml:space="preserve">semi-quantitative RT-PCR </w:t>
      </w:r>
      <w:r w:rsidRPr="00A95497">
        <w:rPr>
          <w:rFonts w:asciiTheme="majorBidi" w:hAnsiTheme="majorBidi" w:cstheme="majorBidi"/>
          <w:color w:val="000000" w:themeColor="text1"/>
        </w:rPr>
        <w:t>as well as western blot analysis. The cells proliferation and migration following COBRA1 overexpression were assessed using the trypan blue dye exclusion method and the wound-healing assays respectively. The semi-quantitative RT-PCR was used to analyse the mRNA expressions of the other NELF subunits, TFF1 and TFF3</w:t>
      </w:r>
      <w:r>
        <w:rPr>
          <w:rFonts w:asciiTheme="majorBidi" w:hAnsiTheme="majorBidi" w:cstheme="majorBidi"/>
          <w:color w:val="000000" w:themeColor="text1"/>
        </w:rPr>
        <w:t xml:space="preserve"> genes</w:t>
      </w:r>
      <w:r w:rsidRPr="00A95497">
        <w:rPr>
          <w:rFonts w:asciiTheme="majorBidi" w:hAnsiTheme="majorBidi" w:cstheme="majorBidi"/>
          <w:color w:val="000000" w:themeColor="text1"/>
        </w:rPr>
        <w:t>,</w:t>
      </w:r>
      <w:r>
        <w:rPr>
          <w:rFonts w:asciiTheme="majorBidi" w:hAnsiTheme="majorBidi" w:cstheme="majorBidi"/>
          <w:color w:val="000000" w:themeColor="text1"/>
        </w:rPr>
        <w:t xml:space="preserve"> which are known to be regulated by the NELF complex,</w:t>
      </w:r>
      <w:r w:rsidRPr="00A95497">
        <w:rPr>
          <w:rFonts w:asciiTheme="majorBidi" w:hAnsiTheme="majorBidi" w:cstheme="majorBidi"/>
          <w:color w:val="000000" w:themeColor="text1"/>
        </w:rPr>
        <w:t xml:space="preserve"> as well as oth</w:t>
      </w:r>
      <w:r>
        <w:rPr>
          <w:rFonts w:asciiTheme="majorBidi" w:hAnsiTheme="majorBidi" w:cstheme="majorBidi"/>
          <w:color w:val="000000" w:themeColor="text1"/>
        </w:rPr>
        <w:t xml:space="preserve">er tumorigenesis related genes. </w:t>
      </w:r>
      <w:r w:rsidRPr="00A95497">
        <w:rPr>
          <w:rFonts w:asciiTheme="majorBidi" w:hAnsiTheme="majorBidi" w:cstheme="majorBidi"/>
          <w:color w:val="000000" w:themeColor="text1"/>
        </w:rPr>
        <w:t xml:space="preserve">Our results revealed that COBRA1 transfected cells exhibited a comparable proliferation and migration rates </w:t>
      </w:r>
      <w:r>
        <w:rPr>
          <w:rFonts w:asciiTheme="majorBidi" w:hAnsiTheme="majorBidi" w:cstheme="majorBidi"/>
          <w:color w:val="000000" w:themeColor="text1"/>
        </w:rPr>
        <w:t>to</w:t>
      </w:r>
      <w:r w:rsidRPr="00A95497">
        <w:rPr>
          <w:rFonts w:asciiTheme="majorBidi" w:hAnsiTheme="majorBidi" w:cstheme="majorBidi"/>
          <w:color w:val="000000" w:themeColor="text1"/>
        </w:rPr>
        <w:t xml:space="preserve"> non-transfected cells. These results were accompanied by an insignificant </w:t>
      </w:r>
      <w:r>
        <w:rPr>
          <w:rFonts w:asciiTheme="majorBidi" w:hAnsiTheme="majorBidi" w:cstheme="majorBidi"/>
          <w:color w:val="000000" w:themeColor="text1"/>
        </w:rPr>
        <w:t>effect of COBRA1 overexpression</w:t>
      </w:r>
      <w:r w:rsidRPr="00A95497">
        <w:rPr>
          <w:rFonts w:asciiTheme="majorBidi" w:hAnsiTheme="majorBidi" w:cstheme="majorBidi"/>
          <w:color w:val="000000" w:themeColor="text1"/>
        </w:rPr>
        <w:t xml:space="preserve"> </w:t>
      </w:r>
      <w:r>
        <w:rPr>
          <w:rFonts w:asciiTheme="majorBidi" w:hAnsiTheme="majorBidi" w:cstheme="majorBidi"/>
          <w:color w:val="000000" w:themeColor="text1"/>
        </w:rPr>
        <w:t>on</w:t>
      </w:r>
      <w:r w:rsidRPr="00A95497">
        <w:rPr>
          <w:rFonts w:asciiTheme="majorBidi" w:hAnsiTheme="majorBidi" w:cstheme="majorBidi"/>
          <w:color w:val="000000" w:themeColor="text1"/>
        </w:rPr>
        <w:t xml:space="preserve"> the levels of the proliferation marker; Ki-67 </w:t>
      </w:r>
      <w:r>
        <w:rPr>
          <w:rFonts w:asciiTheme="majorBidi" w:hAnsiTheme="majorBidi" w:cstheme="majorBidi"/>
          <w:color w:val="000000" w:themeColor="text1"/>
        </w:rPr>
        <w:t>and</w:t>
      </w:r>
      <w:r w:rsidRPr="00A95497">
        <w:rPr>
          <w:rFonts w:asciiTheme="majorBidi" w:hAnsiTheme="majorBidi" w:cstheme="majorBidi"/>
          <w:color w:val="000000" w:themeColor="text1"/>
        </w:rPr>
        <w:t xml:space="preserve"> the anti-apoptotic gene; </w:t>
      </w:r>
      <w:proofErr w:type="spellStart"/>
      <w:r w:rsidRPr="00A95497">
        <w:rPr>
          <w:rFonts w:asciiTheme="majorBidi" w:hAnsiTheme="majorBidi" w:cstheme="majorBidi"/>
          <w:color w:val="000000" w:themeColor="text1"/>
        </w:rPr>
        <w:t>survivin</w:t>
      </w:r>
      <w:proofErr w:type="spellEnd"/>
      <w:r w:rsidRPr="00A95497">
        <w:rPr>
          <w:rFonts w:asciiTheme="majorBidi" w:hAnsiTheme="majorBidi" w:cstheme="majorBidi"/>
          <w:color w:val="000000" w:themeColor="text1"/>
        </w:rPr>
        <w:t xml:space="preserve">. </w:t>
      </w:r>
      <w:r>
        <w:rPr>
          <w:rFonts w:asciiTheme="majorBidi" w:hAnsiTheme="majorBidi" w:cstheme="majorBidi"/>
          <w:color w:val="000000" w:themeColor="text1"/>
        </w:rPr>
        <w:t>Also</w:t>
      </w:r>
      <w:r w:rsidRPr="00A95497">
        <w:rPr>
          <w:rFonts w:asciiTheme="majorBidi" w:hAnsiTheme="majorBidi" w:cstheme="majorBidi"/>
          <w:color w:val="000000" w:themeColor="text1"/>
        </w:rPr>
        <w:t xml:space="preserve">, the mRNA </w:t>
      </w:r>
      <w:r>
        <w:rPr>
          <w:rFonts w:asciiTheme="majorBidi" w:hAnsiTheme="majorBidi" w:cstheme="majorBidi"/>
          <w:color w:val="000000" w:themeColor="text1"/>
        </w:rPr>
        <w:t>levels</w:t>
      </w:r>
      <w:r w:rsidRPr="00A95497">
        <w:rPr>
          <w:rFonts w:asciiTheme="majorBidi" w:hAnsiTheme="majorBidi" w:cstheme="majorBidi"/>
          <w:color w:val="000000" w:themeColor="text1"/>
        </w:rPr>
        <w:t xml:space="preserve"> of the other NELF subunits, TFF1 </w:t>
      </w:r>
      <w:r>
        <w:rPr>
          <w:rFonts w:asciiTheme="majorBidi" w:hAnsiTheme="majorBidi" w:cstheme="majorBidi"/>
          <w:color w:val="000000" w:themeColor="text1"/>
        </w:rPr>
        <w:t>and</w:t>
      </w:r>
      <w:r w:rsidRPr="00A95497">
        <w:rPr>
          <w:rFonts w:asciiTheme="majorBidi" w:hAnsiTheme="majorBidi" w:cstheme="majorBidi"/>
          <w:color w:val="000000" w:themeColor="text1"/>
        </w:rPr>
        <w:t xml:space="preserve"> TFF3 were found to be compara</w:t>
      </w:r>
      <w:r>
        <w:rPr>
          <w:rFonts w:asciiTheme="majorBidi" w:hAnsiTheme="majorBidi" w:cstheme="majorBidi"/>
          <w:color w:val="000000" w:themeColor="text1"/>
        </w:rPr>
        <w:t>ble among all the tested groups</w:t>
      </w:r>
      <w:r w:rsidRPr="00A95497">
        <w:rPr>
          <w:rFonts w:asciiTheme="majorBidi" w:hAnsiTheme="majorBidi" w:cstheme="majorBidi"/>
          <w:color w:val="000000" w:themeColor="text1"/>
        </w:rPr>
        <w:t>. Collectively, our results suggest that the proposed involvement of COBRA1 in HCC is supported by and depend</w:t>
      </w:r>
      <w:r>
        <w:rPr>
          <w:rFonts w:asciiTheme="majorBidi" w:hAnsiTheme="majorBidi" w:cstheme="majorBidi"/>
          <w:color w:val="000000" w:themeColor="text1"/>
        </w:rPr>
        <w:t>e</w:t>
      </w:r>
      <w:r w:rsidRPr="00A95497">
        <w:rPr>
          <w:rFonts w:asciiTheme="majorBidi" w:hAnsiTheme="majorBidi" w:cstheme="majorBidi"/>
          <w:color w:val="000000" w:themeColor="text1"/>
        </w:rPr>
        <w:t xml:space="preserve">nt on the </w:t>
      </w:r>
      <w:r>
        <w:rPr>
          <w:rFonts w:asciiTheme="majorBidi" w:hAnsiTheme="majorBidi" w:cstheme="majorBidi"/>
          <w:color w:val="000000" w:themeColor="text1"/>
        </w:rPr>
        <w:t xml:space="preserve">assembly of the active NELF complex, which requires the </w:t>
      </w:r>
      <w:r w:rsidRPr="00A95497">
        <w:rPr>
          <w:rFonts w:asciiTheme="majorBidi" w:hAnsiTheme="majorBidi" w:cstheme="majorBidi"/>
          <w:color w:val="000000" w:themeColor="text1"/>
        </w:rPr>
        <w:t xml:space="preserve">expression of </w:t>
      </w:r>
      <w:r>
        <w:rPr>
          <w:rFonts w:asciiTheme="majorBidi" w:hAnsiTheme="majorBidi" w:cstheme="majorBidi"/>
          <w:color w:val="000000" w:themeColor="text1"/>
          <w:shd w:val="clear" w:color="auto" w:fill="FFFFFF"/>
        </w:rPr>
        <w:t>all four</w:t>
      </w:r>
      <w:r w:rsidRPr="00A95497">
        <w:rPr>
          <w:rFonts w:asciiTheme="majorBidi" w:hAnsiTheme="majorBidi" w:cstheme="majorBidi"/>
          <w:color w:val="000000" w:themeColor="text1"/>
          <w:shd w:val="clear" w:color="auto" w:fill="FFFFFF"/>
        </w:rPr>
        <w:t xml:space="preserve"> NELF subunits. Moreover, COBRA1 mediated role in HCC tumorigenesis might be due to mechanisms and regulatory pathways other than the ones examined here. </w:t>
      </w:r>
      <w:r>
        <w:rPr>
          <w:rFonts w:asciiTheme="majorBidi" w:hAnsiTheme="majorBidi" w:cstheme="majorBidi"/>
          <w:color w:val="000000" w:themeColor="text1"/>
          <w:shd w:val="clear" w:color="auto" w:fill="FFFFFF"/>
        </w:rPr>
        <w:t>However</w:t>
      </w:r>
      <w:r w:rsidRPr="00A95497">
        <w:rPr>
          <w:rFonts w:asciiTheme="majorBidi" w:hAnsiTheme="majorBidi" w:cstheme="majorBidi"/>
          <w:color w:val="000000" w:themeColor="text1"/>
          <w:shd w:val="clear" w:color="auto" w:fill="FFFFFF"/>
        </w:rPr>
        <w:t>, further studies are required to confirm these notions.</w:t>
      </w:r>
    </w:p>
    <w:p w:rsidR="002407D3" w:rsidRDefault="002407D3">
      <w:bookmarkStart w:id="0" w:name="_GoBack"/>
      <w:bookmarkEnd w:id="0"/>
    </w:p>
    <w:sectPr w:rsidR="002407D3" w:rsidSect="009B3661">
      <w:pgSz w:w="11906" w:h="16838"/>
      <w:pgMar w:top="1418" w:right="1440" w:bottom="1418"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0FF"/>
    <w:rsid w:val="002407D3"/>
    <w:rsid w:val="003924EE"/>
    <w:rsid w:val="005F20FF"/>
    <w:rsid w:val="009B36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B6E511-B7EE-49E9-9E89-7C5F71D7E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0FF"/>
  </w:style>
  <w:style w:type="paragraph" w:styleId="Heading5">
    <w:name w:val="heading 5"/>
    <w:basedOn w:val="Normal"/>
    <w:next w:val="Normal"/>
    <w:link w:val="Heading5Char"/>
    <w:uiPriority w:val="9"/>
    <w:semiHidden/>
    <w:unhideWhenUsed/>
    <w:qFormat/>
    <w:rsid w:val="003924E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Heading5"/>
    <w:next w:val="Normal"/>
    <w:uiPriority w:val="99"/>
    <w:semiHidden/>
    <w:unhideWhenUsed/>
    <w:qFormat/>
    <w:rsid w:val="003924EE"/>
    <w:rPr>
      <w:rFonts w:asciiTheme="majorBidi" w:hAnsiTheme="majorBidi"/>
      <w:b/>
      <w:bCs/>
      <w:color w:val="auto"/>
      <w:sz w:val="20"/>
    </w:rPr>
  </w:style>
  <w:style w:type="character" w:customStyle="1" w:styleId="Heading5Char">
    <w:name w:val="Heading 5 Char"/>
    <w:basedOn w:val="DefaultParagraphFont"/>
    <w:link w:val="Heading5"/>
    <w:uiPriority w:val="9"/>
    <w:semiHidden/>
    <w:rsid w:val="003924EE"/>
    <w:rPr>
      <w:rFonts w:asciiTheme="majorHAnsi" w:eastAsiaTheme="majorEastAsia" w:hAnsiTheme="majorHAnsi" w:cstheme="majorBidi"/>
      <w:color w:val="2E74B5" w:themeColor="accent1" w:themeShade="BF"/>
    </w:rPr>
  </w:style>
  <w:style w:type="paragraph" w:styleId="CommentText">
    <w:name w:val="annotation text"/>
    <w:basedOn w:val="Normal"/>
    <w:link w:val="CommentTextChar"/>
    <w:uiPriority w:val="99"/>
    <w:unhideWhenUsed/>
    <w:rsid w:val="005F20FF"/>
    <w:pPr>
      <w:spacing w:line="240" w:lineRule="auto"/>
    </w:pPr>
    <w:rPr>
      <w:sz w:val="24"/>
      <w:szCs w:val="24"/>
    </w:rPr>
  </w:style>
  <w:style w:type="character" w:customStyle="1" w:styleId="CommentTextChar">
    <w:name w:val="Comment Text Char"/>
    <w:basedOn w:val="DefaultParagraphFont"/>
    <w:link w:val="CommentText"/>
    <w:uiPriority w:val="99"/>
    <w:rsid w:val="005F20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Razan Masad</dc:creator>
  <cp:keywords/>
  <dc:description/>
  <cp:lastModifiedBy>Razan Masad</cp:lastModifiedBy>
  <cp:revision>1</cp:revision>
  <dcterms:created xsi:type="dcterms:W3CDTF">2016-12-27T15:23:00Z</dcterms:created>
  <dcterms:modified xsi:type="dcterms:W3CDTF">2016-12-27T15:23:00Z</dcterms:modified>
</cp:coreProperties>
</file>