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A4F" w:rsidRPr="000F5A4F" w:rsidRDefault="000F5A4F" w:rsidP="000F5A4F">
      <w:pPr>
        <w:spacing w:before="100" w:beforeAutospacing="1" w:after="100" w:afterAutospacing="1" w:line="240" w:lineRule="auto"/>
        <w:outlineLvl w:val="0"/>
        <w:rPr>
          <w:rFonts w:ascii="Helvetica" w:eastAsia="Times New Roman" w:hAnsi="Helvetica" w:cs="Helvetica"/>
          <w:b/>
          <w:bCs/>
          <w:color w:val="000000"/>
          <w:kern w:val="36"/>
          <w:sz w:val="24"/>
          <w:szCs w:val="24"/>
        </w:rPr>
      </w:pPr>
      <w:r w:rsidRPr="000F5A4F">
        <w:rPr>
          <w:rFonts w:ascii="Helvetica" w:eastAsia="Times New Roman" w:hAnsi="Helvetica" w:cs="Helvetica"/>
          <w:b/>
          <w:bCs/>
          <w:color w:val="000000"/>
          <w:kern w:val="36"/>
          <w:sz w:val="24"/>
          <w:szCs w:val="24"/>
        </w:rPr>
        <w:t>Des-Gamma-</w:t>
      </w:r>
      <w:proofErr w:type="spellStart"/>
      <w:r w:rsidRPr="000F5A4F">
        <w:rPr>
          <w:rFonts w:ascii="Helvetica" w:eastAsia="Times New Roman" w:hAnsi="Helvetica" w:cs="Helvetica"/>
          <w:b/>
          <w:bCs/>
          <w:color w:val="000000"/>
          <w:kern w:val="36"/>
          <w:sz w:val="24"/>
          <w:szCs w:val="24"/>
        </w:rPr>
        <w:t>Carboxyprothrombin</w:t>
      </w:r>
      <w:proofErr w:type="spellEnd"/>
      <w:r w:rsidRPr="000F5A4F">
        <w:rPr>
          <w:rFonts w:ascii="Helvetica" w:eastAsia="Times New Roman" w:hAnsi="Helvetica" w:cs="Helvetica"/>
          <w:b/>
          <w:bCs/>
          <w:color w:val="000000"/>
          <w:kern w:val="36"/>
          <w:sz w:val="24"/>
          <w:szCs w:val="24"/>
        </w:rPr>
        <w:t xml:space="preserve"> for Early Identification and Prognosis of </w:t>
      </w:r>
      <w:proofErr w:type="spellStart"/>
      <w:r w:rsidRPr="000F5A4F">
        <w:rPr>
          <w:rFonts w:ascii="Helvetica" w:eastAsia="Times New Roman" w:hAnsi="Helvetica" w:cs="Helvetica"/>
          <w:b/>
          <w:bCs/>
          <w:color w:val="000000"/>
          <w:kern w:val="36"/>
          <w:sz w:val="24"/>
          <w:szCs w:val="24"/>
        </w:rPr>
        <w:t>Hepatocellular</w:t>
      </w:r>
      <w:proofErr w:type="spellEnd"/>
      <w:r w:rsidRPr="000F5A4F">
        <w:rPr>
          <w:rFonts w:ascii="Helvetica" w:eastAsia="Times New Roman" w:hAnsi="Helvetica" w:cs="Helvetica"/>
          <w:b/>
          <w:bCs/>
          <w:color w:val="000000"/>
          <w:kern w:val="36"/>
          <w:sz w:val="24"/>
          <w:szCs w:val="24"/>
        </w:rPr>
        <w:t xml:space="preserve"> Carcinoma - A Case Control Study from Western Nepal</w:t>
      </w:r>
    </w:p>
    <w:p w:rsidR="000F5A4F" w:rsidRPr="000F5A4F" w:rsidRDefault="000F5A4F" w:rsidP="000F5A4F">
      <w:pPr>
        <w:spacing w:before="100" w:beforeAutospacing="1" w:after="100" w:afterAutospacing="1" w:line="240" w:lineRule="auto"/>
        <w:rPr>
          <w:rFonts w:ascii="Malgun Gothic" w:eastAsia="Malgun Gothic" w:hAnsi="Malgun Gothic" w:cs="Times New Roman"/>
          <w:color w:val="000000"/>
          <w:sz w:val="24"/>
          <w:szCs w:val="24"/>
        </w:rPr>
      </w:pPr>
      <w:proofErr w:type="spellStart"/>
      <w:r w:rsidRPr="000F5A4F">
        <w:rPr>
          <w:rFonts w:ascii="Malgun Gothic" w:eastAsia="Malgun Gothic" w:hAnsi="Malgun Gothic" w:cs="Times New Roman" w:hint="eastAsia"/>
          <w:color w:val="000000"/>
          <w:sz w:val="24"/>
          <w:szCs w:val="24"/>
        </w:rPr>
        <w:t>Mittal</w:t>
      </w:r>
      <w:proofErr w:type="spellEnd"/>
      <w:r w:rsidRPr="000F5A4F">
        <w:rPr>
          <w:rFonts w:ascii="Malgun Gothic" w:eastAsia="Malgun Gothic" w:hAnsi="Malgun Gothic" w:cs="Times New Roman" w:hint="eastAsia"/>
          <w:color w:val="000000"/>
          <w:sz w:val="24"/>
          <w:szCs w:val="24"/>
        </w:rPr>
        <w:t xml:space="preserve">, </w:t>
      </w:r>
      <w:proofErr w:type="spellStart"/>
      <w:r w:rsidRPr="000F5A4F">
        <w:rPr>
          <w:rFonts w:ascii="Malgun Gothic" w:eastAsia="Malgun Gothic" w:hAnsi="Malgun Gothic" w:cs="Times New Roman" w:hint="eastAsia"/>
          <w:color w:val="000000"/>
          <w:sz w:val="24"/>
          <w:szCs w:val="24"/>
        </w:rPr>
        <w:t>Ankush</w:t>
      </w:r>
      <w:proofErr w:type="spellEnd"/>
      <w:r w:rsidRPr="000F5A4F">
        <w:rPr>
          <w:rFonts w:ascii="Malgun Gothic" w:eastAsia="Malgun Gothic" w:hAnsi="Malgun Gothic" w:cs="Times New Roman" w:hint="eastAsia"/>
          <w:color w:val="000000"/>
          <w:sz w:val="24"/>
          <w:szCs w:val="24"/>
        </w:rPr>
        <w:t xml:space="preserve"> </w:t>
      </w:r>
      <w:r w:rsidRPr="000F5A4F">
        <w:rPr>
          <w:rFonts w:ascii="Malgun Gothic" w:eastAsia="Malgun Gothic" w:hAnsi="Malgun Gothic" w:cs="Times New Roman"/>
          <w:color w:val="000000"/>
          <w:sz w:val="24"/>
          <w:szCs w:val="24"/>
        </w:rPr>
        <w:t xml:space="preserve">,Mohammad </w:t>
      </w:r>
      <w:proofErr w:type="spellStart"/>
      <w:r w:rsidRPr="000F5A4F">
        <w:rPr>
          <w:rFonts w:ascii="Malgun Gothic" w:eastAsia="Malgun Gothic" w:hAnsi="Malgun Gothic" w:cs="Times New Roman"/>
          <w:color w:val="000000"/>
          <w:sz w:val="24"/>
          <w:szCs w:val="24"/>
        </w:rPr>
        <w:t>Shamim</w:t>
      </w:r>
      <w:proofErr w:type="spellEnd"/>
      <w:r w:rsidRPr="000F5A4F">
        <w:rPr>
          <w:rFonts w:ascii="Malgun Gothic" w:eastAsia="Malgun Gothic" w:hAnsi="Malgun Gothic" w:cs="Times New Roman"/>
          <w:color w:val="000000"/>
          <w:sz w:val="24"/>
          <w:szCs w:val="24"/>
        </w:rPr>
        <w:t xml:space="preserve"> </w:t>
      </w:r>
      <w:proofErr w:type="spellStart"/>
      <w:r w:rsidRPr="000F5A4F">
        <w:rPr>
          <w:rFonts w:ascii="Malgun Gothic" w:eastAsia="Malgun Gothic" w:hAnsi="Malgun Gothic" w:cs="Times New Roman"/>
          <w:color w:val="000000"/>
          <w:sz w:val="24"/>
          <w:szCs w:val="24"/>
        </w:rPr>
        <w:t>Farooqui</w:t>
      </w:r>
      <w:proofErr w:type="spellEnd"/>
      <w:r w:rsidRPr="000F5A4F">
        <w:rPr>
          <w:rFonts w:ascii="Malgun Gothic" w:eastAsia="Malgun Gothic" w:hAnsi="Malgun Gothic" w:cs="Times New Roman"/>
          <w:color w:val="000000"/>
          <w:sz w:val="24"/>
          <w:szCs w:val="24"/>
        </w:rPr>
        <w:t xml:space="preserve">, </w:t>
      </w:r>
      <w:proofErr w:type="spellStart"/>
      <w:r w:rsidRPr="000F5A4F">
        <w:rPr>
          <w:rFonts w:ascii="Malgun Gothic" w:eastAsia="Malgun Gothic" w:hAnsi="Malgun Gothic" w:cs="Times New Roman" w:hint="eastAsia"/>
          <w:color w:val="000000"/>
          <w:sz w:val="24"/>
          <w:szCs w:val="24"/>
        </w:rPr>
        <w:t>Sathian</w:t>
      </w:r>
      <w:proofErr w:type="spellEnd"/>
      <w:r w:rsidRPr="000F5A4F">
        <w:rPr>
          <w:rFonts w:ascii="Malgun Gothic" w:eastAsia="Malgun Gothic" w:hAnsi="Malgun Gothic" w:cs="Times New Roman" w:hint="eastAsia"/>
          <w:color w:val="000000"/>
          <w:sz w:val="24"/>
          <w:szCs w:val="24"/>
        </w:rPr>
        <w:t xml:space="preserve">, </w:t>
      </w:r>
      <w:proofErr w:type="spellStart"/>
      <w:r w:rsidRPr="000F5A4F">
        <w:rPr>
          <w:rFonts w:ascii="Malgun Gothic" w:eastAsia="Malgun Gothic" w:hAnsi="Malgun Gothic" w:cs="Times New Roman" w:hint="eastAsia"/>
          <w:color w:val="000000"/>
          <w:sz w:val="24"/>
          <w:szCs w:val="24"/>
        </w:rPr>
        <w:t>Brijesh</w:t>
      </w:r>
      <w:proofErr w:type="spellEnd"/>
      <w:r w:rsidRPr="000F5A4F">
        <w:rPr>
          <w:rFonts w:ascii="Malgun Gothic" w:eastAsia="Malgun Gothic" w:hAnsi="Malgun Gothic" w:cs="Times New Roman" w:hint="eastAsia"/>
          <w:color w:val="000000"/>
          <w:sz w:val="24"/>
          <w:szCs w:val="24"/>
        </w:rPr>
        <w:t xml:space="preserve"> </w:t>
      </w:r>
    </w:p>
    <w:p w:rsidR="000F5A4F" w:rsidRPr="000F5A4F" w:rsidRDefault="000F5A4F" w:rsidP="000F5A4F">
      <w:pPr>
        <w:pStyle w:val="Heading4"/>
        <w:spacing w:before="166"/>
        <w:rPr>
          <w:rFonts w:ascii="Helvetica" w:eastAsia="Malgun Gothic" w:hAnsi="Helvetica" w:cs="Helvetica"/>
          <w:color w:val="000000"/>
          <w:sz w:val="24"/>
          <w:szCs w:val="24"/>
        </w:rPr>
      </w:pPr>
      <w:r w:rsidRPr="000F5A4F">
        <w:rPr>
          <w:rFonts w:ascii="Helvetica" w:eastAsia="Malgun Gothic" w:hAnsi="Helvetica" w:cs="Helvetica"/>
          <w:color w:val="000000"/>
          <w:sz w:val="24"/>
          <w:szCs w:val="24"/>
        </w:rPr>
        <w:t>Abstract</w:t>
      </w:r>
    </w:p>
    <w:p w:rsidR="000F5A4F" w:rsidRDefault="000F5A4F" w:rsidP="000F5A4F">
      <w:pPr>
        <w:pStyle w:val="g-color-gray-dark-v2"/>
        <w:spacing w:before="0" w:after="0"/>
        <w:jc w:val="both"/>
        <w:rPr>
          <w:rFonts w:ascii="Malgun Gothic" w:eastAsia="Malgun Gothic" w:hAnsi="Malgun Gothic"/>
          <w:color w:val="000000"/>
        </w:rPr>
      </w:pPr>
      <w:r w:rsidRPr="000F5A4F">
        <w:rPr>
          <w:rFonts w:ascii="Malgun Gothic" w:eastAsia="Malgun Gothic" w:hAnsi="Malgun Gothic" w:hint="eastAsia"/>
          <w:color w:val="000000"/>
        </w:rPr>
        <w:t>Objective: To assess the diagnostic and prognostic value of AFP and des-gamma-</w:t>
      </w:r>
    </w:p>
    <w:p w:rsidR="000F5A4F" w:rsidRPr="000F5A4F" w:rsidRDefault="000F5A4F" w:rsidP="000F5A4F">
      <w:pPr>
        <w:pStyle w:val="g-color-gray-dark-v2"/>
        <w:spacing w:before="0" w:after="0"/>
        <w:jc w:val="both"/>
        <w:rPr>
          <w:rFonts w:ascii="Malgun Gothic" w:eastAsia="Malgun Gothic" w:hAnsi="Malgun Gothic"/>
          <w:color w:val="000000"/>
        </w:rPr>
      </w:pPr>
      <w:proofErr w:type="spellStart"/>
      <w:proofErr w:type="gramStart"/>
      <w:r w:rsidRPr="000F5A4F">
        <w:rPr>
          <w:rFonts w:ascii="Malgun Gothic" w:eastAsia="Malgun Gothic" w:hAnsi="Malgun Gothic" w:hint="eastAsia"/>
          <w:color w:val="000000"/>
        </w:rPr>
        <w:t>carboxyprothrombin</w:t>
      </w:r>
      <w:proofErr w:type="spellEnd"/>
      <w:proofErr w:type="gramEnd"/>
      <w:r w:rsidRPr="000F5A4F">
        <w:rPr>
          <w:rFonts w:ascii="Malgun Gothic" w:eastAsia="Malgun Gothic" w:hAnsi="Malgun Gothic" w:hint="eastAsia"/>
          <w:color w:val="000000"/>
        </w:rPr>
        <w:t xml:space="preserve"> (DCP) in combination and alone for </w:t>
      </w:r>
      <w:proofErr w:type="spellStart"/>
      <w:r w:rsidRPr="000F5A4F">
        <w:rPr>
          <w:rFonts w:ascii="Malgun Gothic" w:eastAsia="Malgun Gothic" w:hAnsi="Malgun Gothic" w:hint="eastAsia"/>
          <w:color w:val="000000"/>
        </w:rPr>
        <w:t>hepatocellular</w:t>
      </w:r>
      <w:proofErr w:type="spellEnd"/>
      <w:r w:rsidRPr="000F5A4F">
        <w:rPr>
          <w:rFonts w:ascii="Malgun Gothic" w:eastAsia="Malgun Gothic" w:hAnsi="Malgun Gothic" w:hint="eastAsia"/>
          <w:color w:val="000000"/>
        </w:rPr>
        <w:t xml:space="preserve"> carcinoma. Materials and Methods: A case control study carried out in the Department of Biochemistry of </w:t>
      </w:r>
      <w:proofErr w:type="spellStart"/>
      <w:r w:rsidRPr="000F5A4F">
        <w:rPr>
          <w:rFonts w:ascii="Malgun Gothic" w:eastAsia="Malgun Gothic" w:hAnsi="Malgun Gothic" w:hint="eastAsia"/>
          <w:color w:val="000000"/>
        </w:rPr>
        <w:t>Manipal</w:t>
      </w:r>
      <w:proofErr w:type="spellEnd"/>
      <w:r w:rsidRPr="000F5A4F">
        <w:rPr>
          <w:rFonts w:ascii="Malgun Gothic" w:eastAsia="Malgun Gothic" w:hAnsi="Malgun Gothic" w:hint="eastAsia"/>
          <w:color w:val="000000"/>
        </w:rPr>
        <w:t xml:space="preserve"> College of Medical Sciences, </w:t>
      </w:r>
      <w:proofErr w:type="spellStart"/>
      <w:r w:rsidRPr="000F5A4F">
        <w:rPr>
          <w:rFonts w:ascii="Malgun Gothic" w:eastAsia="Malgun Gothic" w:hAnsi="Malgun Gothic" w:hint="eastAsia"/>
          <w:color w:val="000000"/>
        </w:rPr>
        <w:t>Pokhara</w:t>
      </w:r>
      <w:proofErr w:type="spellEnd"/>
      <w:r w:rsidRPr="000F5A4F">
        <w:rPr>
          <w:rFonts w:ascii="Malgun Gothic" w:eastAsia="Malgun Gothic" w:hAnsi="Malgun Gothic" w:hint="eastAsia"/>
          <w:color w:val="000000"/>
        </w:rPr>
        <w:t>, Nepal between </w:t>
      </w:r>
      <w:r w:rsidRPr="000F5A4F">
        <w:rPr>
          <w:rStyle w:val="mjx-char"/>
          <w:rFonts w:ascii="MJXc-TeX-main-Rw" w:eastAsia="Malgun Gothic" w:hAnsi="MJXc-TeX-main-Rw"/>
          <w:color w:val="000000"/>
          <w:bdr w:val="none" w:sz="0" w:space="0" w:color="auto" w:frame="1"/>
        </w:rPr>
        <w:t>1</w:t>
      </w:r>
      <w:r w:rsidRPr="000F5A4F">
        <w:rPr>
          <w:rStyle w:val="mjx-char"/>
          <w:rFonts w:ascii="MJXc-TeX-math-Iw" w:eastAsia="Malgun Gothic" w:hAnsi="MJXc-TeX-math-Iw"/>
          <w:color w:val="000000"/>
          <w:bdr w:val="none" w:sz="0" w:space="0" w:color="auto" w:frame="1"/>
        </w:rPr>
        <w:t>st</w:t>
      </w:r>
      <w:r w:rsidRPr="000F5A4F">
        <w:rPr>
          <w:rStyle w:val="mjxassistivemathml"/>
          <w:rFonts w:ascii="Malgun Gothic" w:eastAsia="Malgun Gothic" w:hAnsi="Malgun Gothic" w:hint="eastAsia"/>
          <w:color w:val="000000"/>
          <w:bdr w:val="none" w:sz="0" w:space="0" w:color="auto" w:frame="1"/>
        </w:rPr>
        <w:t>1st</w:t>
      </w:r>
      <w:r w:rsidRPr="000F5A4F">
        <w:rPr>
          <w:rFonts w:ascii="Malgun Gothic" w:eastAsia="Malgun Gothic" w:hAnsi="Malgun Gothic" w:hint="eastAsia"/>
          <w:color w:val="000000"/>
        </w:rPr>
        <w:t> January 2010 and </w:t>
      </w:r>
      <w:r w:rsidRPr="000F5A4F">
        <w:rPr>
          <w:rStyle w:val="mjx-char"/>
          <w:rFonts w:ascii="MJXc-TeX-main-Rw" w:eastAsia="Malgun Gothic" w:hAnsi="MJXc-TeX-main-Rw"/>
          <w:color w:val="000000"/>
          <w:bdr w:val="none" w:sz="0" w:space="0" w:color="auto" w:frame="1"/>
        </w:rPr>
        <w:t>31</w:t>
      </w:r>
      <w:r w:rsidRPr="000F5A4F">
        <w:rPr>
          <w:rStyle w:val="mjx-char"/>
          <w:rFonts w:ascii="MJXc-TeX-math-Iw" w:eastAsia="Malgun Gothic" w:hAnsi="MJXc-TeX-math-Iw"/>
          <w:color w:val="000000"/>
          <w:bdr w:val="none" w:sz="0" w:space="0" w:color="auto" w:frame="1"/>
        </w:rPr>
        <w:t>st</w:t>
      </w:r>
      <w:r w:rsidRPr="000F5A4F">
        <w:rPr>
          <w:rStyle w:val="mjxassistivemathml"/>
          <w:rFonts w:ascii="Malgun Gothic" w:eastAsia="Malgun Gothic" w:hAnsi="Malgun Gothic" w:hint="eastAsia"/>
          <w:color w:val="000000"/>
          <w:bdr w:val="none" w:sz="0" w:space="0" w:color="auto" w:frame="1"/>
        </w:rPr>
        <w:t>31st</w:t>
      </w:r>
      <w:r w:rsidRPr="000F5A4F">
        <w:rPr>
          <w:rFonts w:ascii="Malgun Gothic" w:eastAsia="Malgun Gothic" w:hAnsi="Malgun Gothic" w:hint="eastAsia"/>
          <w:color w:val="000000"/>
        </w:rPr>
        <w:t xml:space="preserve">December 2011. The variables collected were age, gender, BMI, total proteins, albumin, AST, ALT, total </w:t>
      </w:r>
      <w:proofErr w:type="spellStart"/>
      <w:r w:rsidRPr="000F5A4F">
        <w:rPr>
          <w:rFonts w:ascii="Malgun Gothic" w:eastAsia="Malgun Gothic" w:hAnsi="Malgun Gothic" w:hint="eastAsia"/>
          <w:color w:val="000000"/>
        </w:rPr>
        <w:t>bilirubin</w:t>
      </w:r>
      <w:proofErr w:type="spellEnd"/>
      <w:r w:rsidRPr="000F5A4F">
        <w:rPr>
          <w:rFonts w:ascii="Malgun Gothic" w:eastAsia="Malgun Gothic" w:hAnsi="Malgun Gothic" w:hint="eastAsia"/>
          <w:color w:val="000000"/>
        </w:rPr>
        <w:t xml:space="preserve">, DCP, AFP. Approval for the study was obtained from the institutional research ethical committee. Estimation of AFP was performed by ELISA reader for all cases. Analysis was done using descriptive statistics and confidence interval (CI). The data was analyzed using Excel 2003, R 2.8.0 Statistical Package for the Social Sciences (SPSS) for Windows Version 16.0 (SPSS Inc; Chicago, IL, USA) and the EPI Info 3.5.1 Windows Version. </w:t>
      </w:r>
      <w:proofErr w:type="spellStart"/>
      <w:r w:rsidRPr="000F5A4F">
        <w:rPr>
          <w:rFonts w:ascii="Malgun Gothic" w:eastAsia="Malgun Gothic" w:hAnsi="Malgun Gothic" w:hint="eastAsia"/>
          <w:color w:val="000000"/>
        </w:rPr>
        <w:t>Results</w:t>
      </w:r>
      <w:proofErr w:type="gramStart"/>
      <w:r w:rsidRPr="000F5A4F">
        <w:rPr>
          <w:rFonts w:ascii="Malgun Gothic" w:eastAsia="Malgun Gothic" w:hAnsi="Malgun Gothic" w:hint="eastAsia"/>
          <w:color w:val="000000"/>
        </w:rPr>
        <w:t>:The</w:t>
      </w:r>
      <w:proofErr w:type="spellEnd"/>
      <w:proofErr w:type="gramEnd"/>
      <w:r w:rsidRPr="000F5A4F">
        <w:rPr>
          <w:rFonts w:ascii="Malgun Gothic" w:eastAsia="Malgun Gothic" w:hAnsi="Malgun Gothic" w:hint="eastAsia"/>
          <w:color w:val="000000"/>
        </w:rPr>
        <w:t xml:space="preserve"> mean age of HCC cases was </w:t>
      </w:r>
      <w:r w:rsidRPr="000F5A4F">
        <w:rPr>
          <w:rStyle w:val="mjx-char"/>
          <w:rFonts w:ascii="MJXc-TeX-main-Rw" w:eastAsia="Malgun Gothic" w:hAnsi="MJXc-TeX-main-Rw"/>
          <w:color w:val="000000"/>
          <w:bdr w:val="none" w:sz="0" w:space="0" w:color="auto" w:frame="1"/>
        </w:rPr>
        <w:t>53.6±14.93</w:t>
      </w:r>
      <w:r w:rsidRPr="000F5A4F">
        <w:rPr>
          <w:rStyle w:val="mjxassistivemathml"/>
          <w:rFonts w:ascii="Malgun Gothic" w:eastAsia="Malgun Gothic" w:hAnsi="Malgun Gothic" w:hint="eastAsia"/>
          <w:color w:val="000000"/>
          <w:bdr w:val="none" w:sz="0" w:space="0" w:color="auto" w:frame="1"/>
        </w:rPr>
        <w:t>53.6±14.93</w:t>
      </w:r>
      <w:r w:rsidRPr="000F5A4F">
        <w:rPr>
          <w:rFonts w:ascii="Malgun Gothic" w:eastAsia="Malgun Gothic" w:hAnsi="Malgun Gothic" w:hint="eastAsia"/>
          <w:color w:val="000000"/>
        </w:rPr>
        <w:t xml:space="preserve"> yrs. The percentage of females was less than males in both cases (23%) and controls (29%). The specificity of DCP reached 100% when its values was equal or greater than 150 (MAU/ml) for 0, 3, 6, 9, 12 months preceding the diagnosis of HCC. Similarly, the specificity for AFP was also nearly 100% when its value was equal or greater than 200 </w:t>
      </w:r>
      <w:proofErr w:type="spellStart"/>
      <w:r w:rsidRPr="000F5A4F">
        <w:rPr>
          <w:rFonts w:ascii="Malgun Gothic" w:eastAsia="Malgun Gothic" w:hAnsi="Malgun Gothic" w:hint="eastAsia"/>
          <w:color w:val="000000"/>
        </w:rPr>
        <w:t>ng</w:t>
      </w:r>
      <w:proofErr w:type="spellEnd"/>
      <w:r w:rsidRPr="000F5A4F">
        <w:rPr>
          <w:rFonts w:ascii="Malgun Gothic" w:eastAsia="Malgun Gothic" w:hAnsi="Malgun Gothic" w:hint="eastAsia"/>
          <w:color w:val="000000"/>
        </w:rPr>
        <w:t>/ml 0, 3, 6, 9, 12 months earlier to the finding of HCC. The specificity of DCP (</w:t>
      </w:r>
      <w:r w:rsidRPr="000F5A4F">
        <w:rPr>
          <w:rStyle w:val="mjx-char"/>
          <w:rFonts w:ascii="MJXc-TeX-main-Rw" w:eastAsia="Malgun Gothic" w:hAnsi="MJXc-TeX-main-Rw"/>
          <w:color w:val="000000"/>
          <w:bdr w:val="none" w:sz="0" w:space="0" w:color="auto" w:frame="1"/>
        </w:rPr>
        <w:t>≥40</w:t>
      </w:r>
      <w:r w:rsidRPr="000F5A4F">
        <w:rPr>
          <w:rStyle w:val="mjx-char"/>
          <w:rFonts w:ascii="MJXc-TeX-math-Iw" w:eastAsia="Malgun Gothic" w:hAnsi="MJXc-TeX-math-Iw"/>
          <w:color w:val="000000"/>
          <w:bdr w:val="none" w:sz="0" w:space="0" w:color="auto" w:frame="1"/>
        </w:rPr>
        <w:t>MAU</w:t>
      </w:r>
      <w:r w:rsidRPr="000F5A4F">
        <w:rPr>
          <w:rStyle w:val="mjx-char"/>
          <w:rFonts w:ascii="MJXc-TeX-main-Rw" w:eastAsia="Malgun Gothic" w:hAnsi="MJXc-TeX-main-Rw"/>
          <w:color w:val="000000"/>
          <w:bdr w:val="none" w:sz="0" w:space="0" w:color="auto" w:frame="1"/>
        </w:rPr>
        <w:t>/</w:t>
      </w:r>
      <w:r w:rsidRPr="000F5A4F">
        <w:rPr>
          <w:rStyle w:val="mjx-char"/>
          <w:rFonts w:ascii="MJXc-TeX-math-Iw" w:eastAsia="Malgun Gothic" w:hAnsi="MJXc-TeX-math-Iw"/>
          <w:color w:val="000000"/>
          <w:bdr w:val="none" w:sz="0" w:space="0" w:color="auto" w:frame="1"/>
        </w:rPr>
        <w:t>mL</w:t>
      </w:r>
      <w:r w:rsidRPr="000F5A4F">
        <w:rPr>
          <w:rStyle w:val="mjxassistivemathml"/>
          <w:rFonts w:ascii="Malgun Gothic" w:eastAsia="Malgun Gothic" w:hAnsi="Malgun Gothic" w:hint="eastAsia"/>
          <w:color w:val="000000"/>
          <w:bdr w:val="none" w:sz="0" w:space="0" w:color="auto" w:frame="1"/>
        </w:rPr>
        <w:t>≥40MAU/</w:t>
      </w:r>
      <w:proofErr w:type="spellStart"/>
      <w:r w:rsidRPr="000F5A4F">
        <w:rPr>
          <w:rStyle w:val="mjxassistivemathml"/>
          <w:rFonts w:ascii="Malgun Gothic" w:eastAsia="Malgun Gothic" w:hAnsi="Malgun Gothic" w:hint="eastAsia"/>
          <w:color w:val="000000"/>
          <w:bdr w:val="none" w:sz="0" w:space="0" w:color="auto" w:frame="1"/>
        </w:rPr>
        <w:t>mL</w:t>
      </w:r>
      <w:proofErr w:type="spellEnd"/>
      <w:r w:rsidRPr="000F5A4F">
        <w:rPr>
          <w:rFonts w:ascii="Malgun Gothic" w:eastAsia="Malgun Gothic" w:hAnsi="Malgun Gothic" w:hint="eastAsia"/>
          <w:color w:val="000000"/>
        </w:rPr>
        <w:t>) and AFP(</w:t>
      </w:r>
      <w:r w:rsidRPr="000F5A4F">
        <w:rPr>
          <w:rStyle w:val="mjx-char"/>
          <w:rFonts w:ascii="MJXc-TeX-main-Rw" w:eastAsia="Malgun Gothic" w:hAnsi="MJXc-TeX-main-Rw"/>
          <w:color w:val="000000"/>
          <w:bdr w:val="none" w:sz="0" w:space="0" w:color="auto" w:frame="1"/>
        </w:rPr>
        <w:t>≥20</w:t>
      </w:r>
      <w:r w:rsidRPr="000F5A4F">
        <w:rPr>
          <w:rStyle w:val="mjxassistivemathml"/>
          <w:rFonts w:ascii="Malgun Gothic" w:eastAsia="Malgun Gothic" w:hAnsi="Malgun Gothic" w:hint="eastAsia"/>
          <w:color w:val="000000"/>
          <w:bdr w:val="none" w:sz="0" w:space="0" w:color="auto" w:frame="1"/>
        </w:rPr>
        <w:t>≥20</w:t>
      </w:r>
      <w:r w:rsidRPr="000F5A4F">
        <w:rPr>
          <w:rFonts w:ascii="Malgun Gothic" w:eastAsia="Malgun Gothic" w:hAnsi="Malgun Gothic" w:hint="eastAsia"/>
          <w:color w:val="000000"/>
        </w:rPr>
        <w:t> </w:t>
      </w:r>
      <w:proofErr w:type="spellStart"/>
      <w:r w:rsidRPr="000F5A4F">
        <w:rPr>
          <w:rFonts w:ascii="Malgun Gothic" w:eastAsia="Malgun Gothic" w:hAnsi="Malgun Gothic" w:hint="eastAsia"/>
          <w:color w:val="000000"/>
        </w:rPr>
        <w:t>ng</w:t>
      </w:r>
      <w:proofErr w:type="spellEnd"/>
      <w:r w:rsidRPr="000F5A4F">
        <w:rPr>
          <w:rFonts w:ascii="Malgun Gothic" w:eastAsia="Malgun Gothic" w:hAnsi="Malgun Gothic" w:hint="eastAsia"/>
          <w:color w:val="000000"/>
        </w:rPr>
        <w:t>/</w:t>
      </w:r>
      <w:proofErr w:type="spellStart"/>
      <w:r w:rsidRPr="000F5A4F">
        <w:rPr>
          <w:rFonts w:ascii="Malgun Gothic" w:eastAsia="Malgun Gothic" w:hAnsi="Malgun Gothic" w:hint="eastAsia"/>
          <w:color w:val="000000"/>
        </w:rPr>
        <w:t>mL</w:t>
      </w:r>
      <w:proofErr w:type="spellEnd"/>
      <w:r w:rsidRPr="000F5A4F">
        <w:rPr>
          <w:rFonts w:ascii="Malgun Gothic" w:eastAsia="Malgun Gothic" w:hAnsi="Malgun Gothic" w:hint="eastAsia"/>
          <w:color w:val="000000"/>
        </w:rPr>
        <w:t>) in combination was 93%, 97%, 95%, 96%, 97% in respect to 0, 3, 6, 9, 12 months prior to the diagnosis of HCC. Conclusion: The combination of both DCP and AFP will improve the finding of initial HCC and the sensitivity of these markers was utmost at the time of HCC identification and noticeably lesser at former time points.</w:t>
      </w:r>
    </w:p>
    <w:p w:rsidR="000F5A4F" w:rsidRPr="000F5A4F" w:rsidRDefault="000F5A4F" w:rsidP="000F5A4F">
      <w:pPr>
        <w:pStyle w:val="Heading4"/>
        <w:spacing w:before="166"/>
        <w:rPr>
          <w:rFonts w:ascii="Helvetica" w:eastAsia="Malgun Gothic" w:hAnsi="Helvetica" w:cs="Helvetica" w:hint="eastAsia"/>
          <w:color w:val="000000"/>
          <w:sz w:val="24"/>
          <w:szCs w:val="24"/>
        </w:rPr>
      </w:pPr>
      <w:r w:rsidRPr="000F5A4F">
        <w:rPr>
          <w:rFonts w:ascii="Helvetica" w:eastAsia="Malgun Gothic" w:hAnsi="Helvetica" w:cs="Helvetica"/>
          <w:color w:val="000000"/>
          <w:sz w:val="24"/>
          <w:szCs w:val="24"/>
        </w:rPr>
        <w:t>Keywords</w:t>
      </w:r>
    </w:p>
    <w:p w:rsidR="000F5A4F" w:rsidRPr="000F5A4F" w:rsidRDefault="000F5A4F" w:rsidP="000F5A4F">
      <w:pPr>
        <w:pStyle w:val="g-color-gray-dark-v2"/>
        <w:rPr>
          <w:rFonts w:ascii="Malgun Gothic" w:eastAsia="Malgun Gothic" w:hAnsi="Malgun Gothic"/>
          <w:color w:val="000000"/>
        </w:rPr>
      </w:pPr>
      <w:proofErr w:type="spellStart"/>
      <w:r w:rsidRPr="000F5A4F">
        <w:rPr>
          <w:rFonts w:ascii="Malgun Gothic" w:eastAsia="Malgun Gothic" w:hAnsi="Malgun Gothic" w:hint="eastAsia"/>
          <w:color w:val="000000"/>
        </w:rPr>
        <w:t>HCC</w:t>
      </w:r>
      <w:proofErr w:type="gramStart"/>
      <w:r w:rsidRPr="000F5A4F">
        <w:rPr>
          <w:rFonts w:ascii="Malgun Gothic" w:eastAsia="Malgun Gothic" w:hAnsi="Malgun Gothic" w:hint="eastAsia"/>
          <w:color w:val="000000"/>
        </w:rPr>
        <w:t>;diagnosis</w:t>
      </w:r>
      <w:proofErr w:type="gramEnd"/>
      <w:r w:rsidRPr="000F5A4F">
        <w:rPr>
          <w:rFonts w:ascii="Malgun Gothic" w:eastAsia="Malgun Gothic" w:hAnsi="Malgun Gothic" w:hint="eastAsia"/>
          <w:color w:val="000000"/>
        </w:rPr>
        <w:t>;AFP;des</w:t>
      </w:r>
      <w:proofErr w:type="spellEnd"/>
      <w:r w:rsidRPr="000F5A4F">
        <w:rPr>
          <w:rFonts w:ascii="Malgun Gothic" w:eastAsia="Malgun Gothic" w:hAnsi="Malgun Gothic" w:hint="eastAsia"/>
          <w:color w:val="000000"/>
        </w:rPr>
        <w:t>-gamma-</w:t>
      </w:r>
      <w:proofErr w:type="spellStart"/>
      <w:r w:rsidRPr="000F5A4F">
        <w:rPr>
          <w:rFonts w:ascii="Malgun Gothic" w:eastAsia="Malgun Gothic" w:hAnsi="Malgun Gothic" w:hint="eastAsia"/>
          <w:color w:val="000000"/>
        </w:rPr>
        <w:t>carboxyprothrombin;Nepal</w:t>
      </w:r>
      <w:proofErr w:type="spellEnd"/>
    </w:p>
    <w:p w:rsidR="000F5A4F" w:rsidRPr="000F5A4F" w:rsidRDefault="000F5A4F" w:rsidP="000F5A4F">
      <w:pPr>
        <w:spacing w:before="100" w:beforeAutospacing="1" w:after="100" w:afterAutospacing="1" w:line="240" w:lineRule="auto"/>
        <w:ind w:left="720"/>
        <w:rPr>
          <w:rFonts w:ascii="Malgun Gothic" w:eastAsia="Malgun Gothic" w:hAnsi="Malgun Gothic" w:cs="Times New Roman" w:hint="eastAsia"/>
          <w:color w:val="000000"/>
          <w:sz w:val="24"/>
          <w:szCs w:val="24"/>
        </w:rPr>
      </w:pPr>
    </w:p>
    <w:sectPr w:rsidR="000F5A4F" w:rsidRPr="000F5A4F" w:rsidSect="00B37B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JXc-TeX-main-Rw">
    <w:altName w:val="Times New Roman"/>
    <w:panose1 w:val="00000000000000000000"/>
    <w:charset w:val="00"/>
    <w:family w:val="roman"/>
    <w:notTrueType/>
    <w:pitch w:val="default"/>
    <w:sig w:usb0="00000000" w:usb1="00000000" w:usb2="00000000" w:usb3="00000000" w:csb0="00000000" w:csb1="00000000"/>
  </w:font>
  <w:font w:name="MJXc-TeX-math-Iw">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E01EBF"/>
    <w:multiLevelType w:val="multilevel"/>
    <w:tmpl w:val="F840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9D17E4"/>
    <w:rsid w:val="000F5A4F"/>
    <w:rsid w:val="00167CCA"/>
    <w:rsid w:val="009D17E4"/>
    <w:rsid w:val="00B37B81"/>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81"/>
  </w:style>
  <w:style w:type="paragraph" w:styleId="Heading1">
    <w:name w:val="heading 1"/>
    <w:basedOn w:val="Normal"/>
    <w:link w:val="Heading1Char"/>
    <w:uiPriority w:val="9"/>
    <w:qFormat/>
    <w:rsid w:val="000F5A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0F5A4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A4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0F5A4F"/>
    <w:rPr>
      <w:rFonts w:asciiTheme="majorHAnsi" w:eastAsiaTheme="majorEastAsia" w:hAnsiTheme="majorHAnsi" w:cstheme="majorBidi"/>
      <w:b/>
      <w:bCs/>
      <w:i/>
      <w:iCs/>
      <w:color w:val="4F81BD" w:themeColor="accent1"/>
    </w:rPr>
  </w:style>
  <w:style w:type="paragraph" w:customStyle="1" w:styleId="g-color-gray-dark-v2">
    <w:name w:val="g-color-gray-dark-v2"/>
    <w:basedOn w:val="Normal"/>
    <w:rsid w:val="000F5A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0F5A4F"/>
  </w:style>
  <w:style w:type="character" w:customStyle="1" w:styleId="mjxassistivemathml">
    <w:name w:val="mjx_assistive_mathml"/>
    <w:basedOn w:val="DefaultParagraphFont"/>
    <w:rsid w:val="000F5A4F"/>
  </w:style>
</w:styles>
</file>

<file path=word/webSettings.xml><?xml version="1.0" encoding="utf-8"?>
<w:webSettings xmlns:r="http://schemas.openxmlformats.org/officeDocument/2006/relationships" xmlns:w="http://schemas.openxmlformats.org/wordprocessingml/2006/main">
  <w:divs>
    <w:div w:id="128790455">
      <w:bodyDiv w:val="1"/>
      <w:marLeft w:val="0"/>
      <w:marRight w:val="0"/>
      <w:marTop w:val="0"/>
      <w:marBottom w:val="0"/>
      <w:divBdr>
        <w:top w:val="none" w:sz="0" w:space="0" w:color="auto"/>
        <w:left w:val="none" w:sz="0" w:space="0" w:color="auto"/>
        <w:bottom w:val="none" w:sz="0" w:space="0" w:color="auto"/>
        <w:right w:val="none" w:sz="0" w:space="0" w:color="auto"/>
      </w:divBdr>
    </w:div>
    <w:div w:id="725490561">
      <w:bodyDiv w:val="1"/>
      <w:marLeft w:val="0"/>
      <w:marRight w:val="0"/>
      <w:marTop w:val="0"/>
      <w:marBottom w:val="0"/>
      <w:divBdr>
        <w:top w:val="none" w:sz="0" w:space="0" w:color="auto"/>
        <w:left w:val="none" w:sz="0" w:space="0" w:color="auto"/>
        <w:bottom w:val="none" w:sz="0" w:space="0" w:color="auto"/>
        <w:right w:val="none" w:sz="0" w:space="0" w:color="auto"/>
      </w:divBdr>
      <w:divsChild>
        <w:div w:id="1054541394">
          <w:marLeft w:val="0"/>
          <w:marRight w:val="0"/>
          <w:marTop w:val="166"/>
          <w:marBottom w:val="166"/>
          <w:divBdr>
            <w:top w:val="none" w:sz="0" w:space="0" w:color="auto"/>
            <w:left w:val="none" w:sz="0" w:space="0" w:color="auto"/>
            <w:bottom w:val="dotted" w:sz="6" w:space="12" w:color="E1E1E1"/>
            <w:right w:val="none" w:sz="0" w:space="0" w:color="auto"/>
          </w:divBdr>
          <w:divsChild>
            <w:div w:id="380710186">
              <w:marLeft w:val="0"/>
              <w:marRight w:val="0"/>
              <w:marTop w:val="0"/>
              <w:marBottom w:val="0"/>
              <w:divBdr>
                <w:top w:val="none" w:sz="0" w:space="0" w:color="auto"/>
                <w:left w:val="none" w:sz="0" w:space="0" w:color="auto"/>
                <w:bottom w:val="none" w:sz="0" w:space="0" w:color="auto"/>
                <w:right w:val="none" w:sz="0" w:space="0" w:color="auto"/>
              </w:divBdr>
            </w:div>
          </w:divsChild>
        </w:div>
        <w:div w:id="1788575100">
          <w:marLeft w:val="0"/>
          <w:marRight w:val="0"/>
          <w:marTop w:val="166"/>
          <w:marBottom w:val="166"/>
          <w:divBdr>
            <w:top w:val="none" w:sz="0" w:space="0" w:color="auto"/>
            <w:left w:val="none" w:sz="0" w:space="0" w:color="auto"/>
            <w:bottom w:val="dotted" w:sz="6" w:space="12" w:color="E1E1E1"/>
            <w:right w:val="none" w:sz="0" w:space="0" w:color="auto"/>
          </w:divBdr>
          <w:divsChild>
            <w:div w:id="370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3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Library5</dc:creator>
  <cp:lastModifiedBy>Library5</cp:lastModifiedBy>
  <cp:revision>2</cp:revision>
  <dcterms:created xsi:type="dcterms:W3CDTF">2019-06-08T08:20:00Z</dcterms:created>
  <dcterms:modified xsi:type="dcterms:W3CDTF">2019-06-08T08:20:00Z</dcterms:modified>
</cp:coreProperties>
</file>