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402" w:rsidRDefault="00C84402" w:rsidP="00C84402">
      <w:pPr>
        <w:pStyle w:val="Title"/>
        <w:spacing w:line="360" w:lineRule="auto"/>
        <w:jc w:val="left"/>
      </w:pPr>
      <w:proofErr w:type="spellStart"/>
      <w:r w:rsidRPr="00AA1287">
        <w:rPr>
          <w:i/>
          <w:iCs/>
        </w:rPr>
        <w:t>Salvadora</w:t>
      </w:r>
      <w:proofErr w:type="spellEnd"/>
      <w:r w:rsidRPr="00AA1287">
        <w:rPr>
          <w:i/>
          <w:iCs/>
        </w:rPr>
        <w:t xml:space="preserve"> </w:t>
      </w:r>
      <w:proofErr w:type="spellStart"/>
      <w:r w:rsidRPr="00AA1287">
        <w:rPr>
          <w:i/>
          <w:iCs/>
        </w:rPr>
        <w:t>Persica</w:t>
      </w:r>
      <w:proofErr w:type="spellEnd"/>
      <w:r w:rsidRPr="00AA1287">
        <w:t xml:space="preserve"> attenuates DMBA-induced mammary cancer through downregulation oxidative stress</w:t>
      </w:r>
      <w:r>
        <w:t>,</w:t>
      </w:r>
      <w:r w:rsidRPr="00AA1287">
        <w:t xml:space="preserve"> estrogen receptor expression </w:t>
      </w:r>
      <w:r>
        <w:t>and</w:t>
      </w:r>
      <w:r w:rsidRPr="00AA1287">
        <w:t xml:space="preserve"> proliferation and augmenting</w:t>
      </w:r>
      <w:r>
        <w:t xml:space="preserve"> apoptosis </w:t>
      </w:r>
    </w:p>
    <w:p w:rsidR="002A2866" w:rsidRPr="00AA1287" w:rsidRDefault="00C84402" w:rsidP="002A2866">
      <w:pPr>
        <w:tabs>
          <w:tab w:val="left" w:pos="240"/>
          <w:tab w:val="center" w:pos="4153"/>
        </w:tabs>
        <w:spacing w:after="60" w:line="360" w:lineRule="auto"/>
        <w:rPr>
          <w:rFonts w:ascii="Arial" w:hAnsi="Arial" w:cs="Arial"/>
          <w:b/>
          <w:bCs/>
          <w:i/>
          <w:iCs/>
          <w:vertAlign w:val="superscript"/>
          <w:lang w:bidi="ar-AE"/>
        </w:rPr>
      </w:pPr>
      <w:r w:rsidRPr="00C211DC">
        <w:rPr>
          <w:rFonts w:ascii="Arial" w:hAnsi="Arial" w:cs="Arial"/>
          <w:b/>
          <w:bCs/>
          <w:i/>
          <w:iCs/>
          <w:vertAlign w:val="superscript"/>
          <w:lang w:bidi="ar-AE"/>
        </w:rPr>
        <w:t xml:space="preserve">Alaaeldin Ahmed Hamza1 </w:t>
      </w:r>
      <w:r w:rsidR="002A2866" w:rsidRPr="00AA1287">
        <w:rPr>
          <w:rFonts w:ascii="Arial" w:hAnsi="Arial" w:cs="Arial"/>
          <w:b/>
          <w:bCs/>
          <w:i/>
          <w:iCs/>
          <w:vertAlign w:val="superscript"/>
          <w:lang w:bidi="ar-AE"/>
        </w:rPr>
        <w:t>1Biology Department, National Organization for Drug Control and Research, Giza 12611</w:t>
      </w:r>
    </w:p>
    <w:p w:rsidR="005973B9" w:rsidRPr="00B323A8" w:rsidRDefault="00B323A8" w:rsidP="00B323A8">
      <w:pPr>
        <w:tabs>
          <w:tab w:val="left" w:pos="240"/>
          <w:tab w:val="center" w:pos="4153"/>
        </w:tabs>
        <w:spacing w:after="60" w:line="360" w:lineRule="auto"/>
        <w:rPr>
          <w:rFonts w:ascii="Arial" w:hAnsi="Arial" w:cs="Arial"/>
          <w:b/>
          <w:bCs/>
          <w:i/>
          <w:iCs/>
          <w:vertAlign w:val="superscript"/>
          <w:lang w:bidi="ar-AE"/>
        </w:rPr>
      </w:pPr>
      <w:r w:rsidRPr="00C211DC">
        <w:rPr>
          <w:rFonts w:ascii="Arial" w:hAnsi="Arial" w:cs="Arial"/>
          <w:b/>
          <w:bCs/>
          <w:i/>
          <w:iCs/>
          <w:vertAlign w:val="superscript"/>
          <w:lang w:bidi="ar-AE"/>
        </w:rPr>
        <w:t>Mohammad A Khasawneh2</w:t>
      </w:r>
      <w:r w:rsidRPr="00AA1287">
        <w:rPr>
          <w:rFonts w:ascii="Arial" w:hAnsi="Arial" w:cs="Arial"/>
          <w:b/>
          <w:bCs/>
          <w:i/>
          <w:iCs/>
          <w:vertAlign w:val="superscript"/>
          <w:lang w:bidi="ar-AE"/>
        </w:rPr>
        <w:t>2Department of Chemistry, Faculty of Science U.A.E. Universi</w:t>
      </w:r>
      <w:r>
        <w:rPr>
          <w:rFonts w:ascii="Arial" w:hAnsi="Arial" w:cs="Arial"/>
          <w:b/>
          <w:bCs/>
          <w:i/>
          <w:iCs/>
          <w:vertAlign w:val="superscript"/>
          <w:lang w:bidi="ar-AE"/>
        </w:rPr>
        <w:t>ty, Al-Ain, P.O. Box 17551, UAE</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C84402" w:rsidRPr="00C211DC" w:rsidRDefault="00C84402" w:rsidP="00C84402">
      <w:pPr>
        <w:pStyle w:val="stylesal"/>
        <w:ind w:firstLine="0"/>
        <w:rPr>
          <w:rFonts w:asciiTheme="minorBidi" w:hAnsiTheme="minorBidi" w:cstheme="minorBidi"/>
          <w:color w:val="auto"/>
          <w:kern w:val="0"/>
          <w:sz w:val="20"/>
          <w:szCs w:val="20"/>
        </w:rPr>
      </w:pPr>
      <w:r w:rsidRPr="00C211DC">
        <w:rPr>
          <w:rFonts w:asciiTheme="minorBidi" w:hAnsiTheme="minorBidi" w:cstheme="minorBidi"/>
          <w:color w:val="auto"/>
          <w:kern w:val="0"/>
          <w:sz w:val="20"/>
          <w:szCs w:val="20"/>
        </w:rPr>
        <w:t xml:space="preserve">Naturally occurring phytochemicals especially polyphenolic compounds have received increasing attention as </w:t>
      </w:r>
      <w:proofErr w:type="spellStart"/>
      <w:r w:rsidRPr="00C211DC">
        <w:rPr>
          <w:rFonts w:asciiTheme="minorBidi" w:hAnsiTheme="minorBidi" w:cstheme="minorBidi"/>
          <w:color w:val="auto"/>
          <w:kern w:val="0"/>
          <w:sz w:val="20"/>
          <w:szCs w:val="20"/>
        </w:rPr>
        <w:t>chemopreventive</w:t>
      </w:r>
      <w:proofErr w:type="spellEnd"/>
      <w:r w:rsidRPr="00C211DC">
        <w:rPr>
          <w:rFonts w:asciiTheme="minorBidi" w:hAnsiTheme="minorBidi" w:cstheme="minorBidi"/>
          <w:color w:val="auto"/>
          <w:kern w:val="0"/>
          <w:sz w:val="20"/>
          <w:szCs w:val="20"/>
        </w:rPr>
        <w:t xml:space="preserve"> agents. </w:t>
      </w:r>
      <w:proofErr w:type="gramStart"/>
      <w:r w:rsidRPr="00C211DC">
        <w:rPr>
          <w:rFonts w:asciiTheme="minorBidi" w:hAnsiTheme="minorBidi" w:cstheme="minorBidi"/>
          <w:color w:val="auto"/>
          <w:kern w:val="0"/>
          <w:sz w:val="20"/>
          <w:szCs w:val="20"/>
        </w:rPr>
        <w:t>the</w:t>
      </w:r>
      <w:proofErr w:type="gramEnd"/>
      <w:r w:rsidRPr="00C211DC">
        <w:rPr>
          <w:rFonts w:asciiTheme="minorBidi" w:hAnsiTheme="minorBidi" w:cstheme="minorBidi"/>
          <w:color w:val="auto"/>
          <w:kern w:val="0"/>
          <w:sz w:val="20"/>
          <w:szCs w:val="20"/>
        </w:rPr>
        <w:t xml:space="preserve"> </w:t>
      </w:r>
      <w:proofErr w:type="spellStart"/>
      <w:r w:rsidRPr="00C211DC">
        <w:rPr>
          <w:rFonts w:asciiTheme="minorBidi" w:hAnsiTheme="minorBidi" w:cstheme="minorBidi"/>
          <w:color w:val="auto"/>
          <w:kern w:val="0"/>
          <w:sz w:val="20"/>
          <w:szCs w:val="20"/>
        </w:rPr>
        <w:t>chemopreventive</w:t>
      </w:r>
      <w:proofErr w:type="spellEnd"/>
      <w:r w:rsidRPr="00C211DC">
        <w:rPr>
          <w:rFonts w:asciiTheme="minorBidi" w:hAnsiTheme="minorBidi" w:cstheme="minorBidi"/>
          <w:color w:val="auto"/>
          <w:kern w:val="0"/>
          <w:sz w:val="20"/>
          <w:szCs w:val="20"/>
        </w:rPr>
        <w:t xml:space="preserve"> potential of an </w:t>
      </w:r>
      <w:proofErr w:type="spellStart"/>
      <w:r w:rsidRPr="00C211DC">
        <w:rPr>
          <w:rFonts w:asciiTheme="minorBidi" w:hAnsiTheme="minorBidi" w:cstheme="minorBidi"/>
          <w:color w:val="auto"/>
          <w:kern w:val="0"/>
          <w:sz w:val="20"/>
          <w:szCs w:val="20"/>
        </w:rPr>
        <w:t>ethanolic</w:t>
      </w:r>
      <w:proofErr w:type="spellEnd"/>
      <w:r w:rsidRPr="00C211DC">
        <w:rPr>
          <w:rFonts w:asciiTheme="minorBidi" w:hAnsiTheme="minorBidi" w:cstheme="minorBidi"/>
          <w:color w:val="auto"/>
          <w:kern w:val="0"/>
          <w:sz w:val="20"/>
          <w:szCs w:val="20"/>
        </w:rPr>
        <w:t xml:space="preserve"> extract of </w:t>
      </w:r>
      <w:proofErr w:type="spellStart"/>
      <w:r w:rsidRPr="00C211DC">
        <w:rPr>
          <w:rFonts w:asciiTheme="minorBidi" w:hAnsiTheme="minorBidi" w:cstheme="minorBidi"/>
          <w:color w:val="auto"/>
          <w:kern w:val="0"/>
          <w:sz w:val="20"/>
          <w:szCs w:val="20"/>
        </w:rPr>
        <w:t>Salvadora</w:t>
      </w:r>
      <w:proofErr w:type="spellEnd"/>
      <w:r w:rsidRPr="00C211DC">
        <w:rPr>
          <w:rFonts w:asciiTheme="minorBidi" w:hAnsiTheme="minorBidi" w:cstheme="minorBidi"/>
          <w:color w:val="auto"/>
          <w:kern w:val="0"/>
          <w:sz w:val="20"/>
          <w:szCs w:val="20"/>
        </w:rPr>
        <w:t xml:space="preserve"> </w:t>
      </w:r>
      <w:proofErr w:type="spellStart"/>
      <w:r w:rsidRPr="00C211DC">
        <w:rPr>
          <w:rFonts w:asciiTheme="minorBidi" w:hAnsiTheme="minorBidi" w:cstheme="minorBidi"/>
          <w:color w:val="auto"/>
          <w:kern w:val="0"/>
          <w:sz w:val="20"/>
          <w:szCs w:val="20"/>
        </w:rPr>
        <w:t>Persica</w:t>
      </w:r>
      <w:proofErr w:type="spellEnd"/>
      <w:r w:rsidRPr="00C211DC">
        <w:rPr>
          <w:rFonts w:asciiTheme="minorBidi" w:hAnsiTheme="minorBidi" w:cstheme="minorBidi"/>
          <w:color w:val="auto"/>
          <w:kern w:val="0"/>
          <w:sz w:val="20"/>
          <w:szCs w:val="20"/>
        </w:rPr>
        <w:t xml:space="preserve"> L. fruits SP , (the arak tree or </w:t>
      </w:r>
      <w:proofErr w:type="spellStart"/>
      <w:r w:rsidRPr="00C211DC">
        <w:rPr>
          <w:rFonts w:asciiTheme="minorBidi" w:hAnsiTheme="minorBidi" w:cstheme="minorBidi"/>
          <w:color w:val="auto"/>
          <w:kern w:val="0"/>
          <w:sz w:val="20"/>
          <w:szCs w:val="20"/>
        </w:rPr>
        <w:t>miswak</w:t>
      </w:r>
      <w:proofErr w:type="spellEnd"/>
      <w:r w:rsidRPr="00C211DC">
        <w:rPr>
          <w:rFonts w:asciiTheme="minorBidi" w:hAnsiTheme="minorBidi" w:cstheme="minorBidi"/>
          <w:color w:val="auto"/>
          <w:kern w:val="0"/>
          <w:sz w:val="20"/>
          <w:szCs w:val="20"/>
        </w:rPr>
        <w:t xml:space="preserve">) on 7,12-dimethylbenz (a) anthracene (DMBA)-induced mammary carcinogenesis in female albino rats was investigated in this work. </w:t>
      </w:r>
      <w:proofErr w:type="spellStart"/>
      <w:r w:rsidRPr="00C211DC">
        <w:rPr>
          <w:rFonts w:asciiTheme="minorBidi" w:hAnsiTheme="minorBidi" w:cstheme="minorBidi"/>
          <w:color w:val="auto"/>
          <w:kern w:val="0"/>
          <w:sz w:val="20"/>
          <w:szCs w:val="20"/>
        </w:rPr>
        <w:t>Ethanolic</w:t>
      </w:r>
      <w:proofErr w:type="spellEnd"/>
      <w:r w:rsidRPr="00C211DC">
        <w:rPr>
          <w:rFonts w:asciiTheme="minorBidi" w:hAnsiTheme="minorBidi" w:cstheme="minorBidi"/>
          <w:color w:val="auto"/>
          <w:kern w:val="0"/>
          <w:sz w:val="20"/>
          <w:szCs w:val="20"/>
        </w:rPr>
        <w:t xml:space="preserve"> extract of SP fruits at a concentration of 500 mg /kg b. wt. was supplemented to the experimental groups for 22 weeks. Administration of SP extract suppressed DMBA-induced mammary carcinogenesis as revealed by incidence of tumors in histological investigation. There is a significant reduction in cell proliferation and an increase in apoptosis with downregulation of estrogen receptor expression in the mammary tissue of SP-treated animals. This was associated with prevented the oxidative damage induced in breast tissues of DMBA-treated rats. </w:t>
      </w:r>
      <w:r w:rsidRPr="00C211DC">
        <w:rPr>
          <w:rFonts w:asciiTheme="minorBidi" w:hAnsiTheme="minorBidi" w:cstheme="minorBidi"/>
          <w:sz w:val="20"/>
          <w:szCs w:val="20"/>
        </w:rPr>
        <w:t xml:space="preserve">SP treatment also decreased the viability of </w:t>
      </w:r>
      <w:r w:rsidRPr="00C211DC">
        <w:rPr>
          <w:rFonts w:asciiTheme="minorBidi" w:hAnsiTheme="minorBidi" w:cstheme="minorBidi"/>
          <w:color w:val="auto"/>
          <w:kern w:val="0"/>
          <w:sz w:val="20"/>
          <w:szCs w:val="20"/>
        </w:rPr>
        <w:t xml:space="preserve">MCF-7 breast cancer </w:t>
      </w:r>
      <w:r w:rsidRPr="00C211DC">
        <w:rPr>
          <w:rFonts w:asciiTheme="minorBidi" w:hAnsiTheme="minorBidi" w:cstheme="minorBidi"/>
          <w:sz w:val="20"/>
          <w:szCs w:val="20"/>
        </w:rPr>
        <w:t xml:space="preserve">cells and induced early and late apoptosis and induced S cell cycle arrest. </w:t>
      </w:r>
      <w:r w:rsidRPr="00C211DC">
        <w:rPr>
          <w:rFonts w:asciiTheme="minorBidi" w:hAnsiTheme="minorBidi" w:cstheme="minorBidi"/>
          <w:color w:val="auto"/>
          <w:kern w:val="0"/>
          <w:sz w:val="20"/>
          <w:szCs w:val="20"/>
        </w:rPr>
        <w:t xml:space="preserve">The chemo-preventive properties and anticancer effects of SP could be attributed to its anti-oxidative and </w:t>
      </w:r>
      <w:r w:rsidRPr="00C211DC">
        <w:rPr>
          <w:rFonts w:asciiTheme="minorBidi" w:hAnsiTheme="minorBidi" w:cstheme="minorBidi"/>
          <w:sz w:val="20"/>
          <w:szCs w:val="20"/>
        </w:rPr>
        <w:t xml:space="preserve">a high percentage of phenolic compounds and esters </w:t>
      </w:r>
      <w:r w:rsidRPr="00C211DC">
        <w:rPr>
          <w:rFonts w:asciiTheme="minorBidi" w:hAnsiTheme="minorBidi" w:cstheme="minorBidi"/>
          <w:color w:val="auto"/>
          <w:kern w:val="0"/>
          <w:sz w:val="20"/>
          <w:szCs w:val="20"/>
        </w:rPr>
        <w:t>which were detected here in the SP fruit extract.</w:t>
      </w:r>
      <w:r w:rsidRPr="00C211DC">
        <w:rPr>
          <w:rFonts w:asciiTheme="minorBidi" w:hAnsiTheme="minorBidi" w:cstheme="minorBidi"/>
          <w:sz w:val="20"/>
          <w:szCs w:val="20"/>
        </w:rPr>
        <w:t xml:space="preserve"> </w:t>
      </w:r>
    </w:p>
    <w:p w:rsidR="00C84402" w:rsidRPr="00C211DC" w:rsidRDefault="00C84402" w:rsidP="00C84402">
      <w:pPr>
        <w:pStyle w:val="stylesal"/>
        <w:ind w:firstLine="0"/>
        <w:rPr>
          <w:rFonts w:asciiTheme="minorBidi" w:hAnsiTheme="minorBidi" w:cstheme="minorBidi"/>
          <w:color w:val="auto"/>
          <w:kern w:val="0"/>
          <w:sz w:val="20"/>
          <w:szCs w:val="20"/>
        </w:rPr>
      </w:pPr>
    </w:p>
    <w:p w:rsidR="00AE3E37" w:rsidRPr="00C211DC" w:rsidRDefault="00A9710C">
      <w:pPr>
        <w:pStyle w:val="Heading3"/>
        <w:spacing w:before="74"/>
        <w:rPr>
          <w:rFonts w:asciiTheme="minorBidi" w:hAnsiTheme="minorBidi" w:cstheme="minorBidi"/>
        </w:rPr>
      </w:pPr>
      <w:r w:rsidRPr="00C211DC">
        <w:rPr>
          <w:rFonts w:asciiTheme="minorBidi" w:hAnsiTheme="minorBidi" w:cstheme="minorBidi"/>
          <w:b w:val="0"/>
        </w:rPr>
        <w:br w:type="column"/>
      </w:r>
      <w:r w:rsidRPr="00C211DC">
        <w:rPr>
          <w:rFonts w:asciiTheme="minorBidi" w:hAnsiTheme="minorBidi" w:cstheme="minorBidi"/>
          <w:color w:val="BF5A14"/>
        </w:rPr>
        <w:t>Image</w:t>
      </w:r>
    </w:p>
    <w:p w:rsidR="00AE3E37" w:rsidRPr="00C211DC" w:rsidRDefault="00324A92" w:rsidP="004B2587">
      <w:pPr>
        <w:pStyle w:val="BodyText"/>
        <w:spacing w:before="2"/>
        <w:jc w:val="center"/>
        <w:rPr>
          <w:rFonts w:asciiTheme="minorBidi" w:hAnsiTheme="minorBidi" w:cstheme="minorBidi"/>
          <w:b/>
          <w:sz w:val="20"/>
          <w:szCs w:val="20"/>
        </w:rPr>
      </w:pPr>
      <w:r>
        <w:rPr>
          <w:rFonts w:asciiTheme="minorBidi" w:hAnsiTheme="minorBidi" w:cstheme="minorBidi"/>
          <w:noProof/>
          <w:sz w:val="20"/>
          <w:szCs w:val="20"/>
        </w:rPr>
        <w:drawing>
          <wp:inline distT="0" distB="0" distL="0" distR="0">
            <wp:extent cx="2098614" cy="23533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3.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00475" cy="2355396"/>
                    </a:xfrm>
                    <a:prstGeom prst="rect">
                      <a:avLst/>
                    </a:prstGeom>
                  </pic:spPr>
                </pic:pic>
              </a:graphicData>
            </a:graphic>
          </wp:inline>
        </w:drawing>
      </w:r>
    </w:p>
    <w:p w:rsidR="005973B9" w:rsidRPr="00C211DC" w:rsidRDefault="005973B9" w:rsidP="005973B9">
      <w:pPr>
        <w:spacing w:line="204" w:lineRule="exact"/>
        <w:rPr>
          <w:rFonts w:asciiTheme="minorBidi" w:hAnsiTheme="minorBidi" w:cstheme="minorBidi"/>
          <w:b/>
          <w:sz w:val="20"/>
          <w:szCs w:val="20"/>
        </w:rPr>
      </w:pPr>
      <w:r w:rsidRPr="00C211DC">
        <w:rPr>
          <w:rFonts w:asciiTheme="minorBidi" w:hAnsiTheme="minorBidi" w:cstheme="minorBidi"/>
          <w:b/>
          <w:color w:val="BF5A14"/>
          <w:sz w:val="20"/>
          <w:szCs w:val="20"/>
        </w:rPr>
        <w:br/>
        <w:t>Recent Publications (minimum 5)</w:t>
      </w:r>
    </w:p>
    <w:p w:rsidR="00B323A8" w:rsidRPr="00C211DC" w:rsidRDefault="00B323A8" w:rsidP="00B323A8">
      <w:pPr>
        <w:widowControl/>
        <w:numPr>
          <w:ilvl w:val="0"/>
          <w:numId w:val="4"/>
        </w:numPr>
        <w:jc w:val="both"/>
        <w:rPr>
          <w:rFonts w:asciiTheme="minorBidi" w:hAnsiTheme="minorBidi" w:cstheme="minorBidi"/>
          <w:sz w:val="20"/>
          <w:szCs w:val="20"/>
        </w:rPr>
      </w:pPr>
      <w:r w:rsidRPr="00C211DC">
        <w:rPr>
          <w:rFonts w:asciiTheme="minorBidi" w:hAnsiTheme="minorBidi" w:cstheme="minorBidi"/>
          <w:b/>
          <w:bCs/>
          <w:sz w:val="20"/>
          <w:szCs w:val="20"/>
        </w:rPr>
        <w:t xml:space="preserve">Alaaeldin Ahmed Hamza1, </w:t>
      </w:r>
      <w:proofErr w:type="spellStart"/>
      <w:proofErr w:type="gramStart"/>
      <w:r w:rsidRPr="00C211DC">
        <w:rPr>
          <w:rFonts w:asciiTheme="minorBidi" w:hAnsiTheme="minorBidi" w:cstheme="minorBidi"/>
          <w:sz w:val="20"/>
          <w:szCs w:val="20"/>
        </w:rPr>
        <w:t>Ebtehal</w:t>
      </w:r>
      <w:proofErr w:type="spellEnd"/>
      <w:r w:rsidRPr="00C211DC">
        <w:rPr>
          <w:rFonts w:asciiTheme="minorBidi" w:hAnsiTheme="minorBidi" w:cstheme="minorBidi"/>
          <w:sz w:val="20"/>
          <w:szCs w:val="20"/>
        </w:rPr>
        <w:t xml:space="preserve">  Mohammad</w:t>
      </w:r>
      <w:proofErr w:type="gramEnd"/>
      <w:r w:rsidRPr="00C211DC">
        <w:rPr>
          <w:rFonts w:asciiTheme="minorBidi" w:hAnsiTheme="minorBidi" w:cstheme="minorBidi"/>
          <w:sz w:val="20"/>
          <w:szCs w:val="20"/>
        </w:rPr>
        <w:t xml:space="preserve"> </w:t>
      </w:r>
      <w:proofErr w:type="spellStart"/>
      <w:r w:rsidRPr="00C211DC">
        <w:rPr>
          <w:rFonts w:asciiTheme="minorBidi" w:hAnsiTheme="minorBidi" w:cstheme="minorBidi"/>
          <w:sz w:val="20"/>
          <w:szCs w:val="20"/>
        </w:rPr>
        <w:t>Fikry</w:t>
      </w:r>
      <w:proofErr w:type="spellEnd"/>
      <w:r w:rsidRPr="00C211DC">
        <w:rPr>
          <w:rFonts w:asciiTheme="minorBidi" w:hAnsiTheme="minorBidi" w:cstheme="minorBidi"/>
          <w:sz w:val="20"/>
          <w:szCs w:val="20"/>
        </w:rPr>
        <w:t xml:space="preserve">, </w:t>
      </w:r>
      <w:proofErr w:type="spellStart"/>
      <w:r w:rsidRPr="00C211DC">
        <w:rPr>
          <w:rFonts w:asciiTheme="minorBidi" w:hAnsiTheme="minorBidi" w:cstheme="minorBidi"/>
          <w:sz w:val="20"/>
          <w:szCs w:val="20"/>
        </w:rPr>
        <w:t>Wedad</w:t>
      </w:r>
      <w:proofErr w:type="spellEnd"/>
      <w:r w:rsidRPr="00C211DC">
        <w:rPr>
          <w:rFonts w:asciiTheme="minorBidi" w:hAnsiTheme="minorBidi" w:cstheme="minorBidi"/>
          <w:sz w:val="20"/>
          <w:szCs w:val="20"/>
        </w:rPr>
        <w:t xml:space="preserve"> Abdallah, Amr Amin, Mechanistic insights into the augmented effect of bone</w:t>
      </w:r>
      <w:r w:rsidRPr="00C211DC">
        <w:rPr>
          <w:rFonts w:asciiTheme="minorBidi" w:hAnsiTheme="minorBidi" w:cstheme="minorBidi"/>
          <w:color w:val="222222"/>
          <w:sz w:val="20"/>
          <w:szCs w:val="20"/>
          <w:shd w:val="clear" w:color="auto" w:fill="FFFFFF"/>
        </w:rPr>
        <w:t xml:space="preserve"> marrow mesenchymal stem cells and </w:t>
      </w:r>
      <w:proofErr w:type="spellStart"/>
      <w:r w:rsidRPr="00C211DC">
        <w:rPr>
          <w:rFonts w:asciiTheme="minorBidi" w:hAnsiTheme="minorBidi" w:cstheme="minorBidi"/>
          <w:color w:val="222222"/>
          <w:sz w:val="20"/>
          <w:szCs w:val="20"/>
          <w:shd w:val="clear" w:color="auto" w:fill="FFFFFF"/>
        </w:rPr>
        <w:t>thiazolidinediones</w:t>
      </w:r>
      <w:proofErr w:type="spellEnd"/>
      <w:r w:rsidRPr="00C211DC">
        <w:rPr>
          <w:rFonts w:asciiTheme="minorBidi" w:hAnsiTheme="minorBidi" w:cstheme="minorBidi"/>
          <w:color w:val="222222"/>
          <w:sz w:val="20"/>
          <w:szCs w:val="20"/>
          <w:shd w:val="clear" w:color="auto" w:fill="FFFFFF"/>
        </w:rPr>
        <w:t xml:space="preserve"> in </w:t>
      </w:r>
      <w:proofErr w:type="spellStart"/>
      <w:r w:rsidRPr="00C211DC">
        <w:rPr>
          <w:rFonts w:asciiTheme="minorBidi" w:hAnsiTheme="minorBidi" w:cstheme="minorBidi"/>
          <w:color w:val="222222"/>
          <w:sz w:val="20"/>
          <w:szCs w:val="20"/>
          <w:shd w:val="clear" w:color="auto" w:fill="FFFFFF"/>
        </w:rPr>
        <w:t>streptozotocin</w:t>
      </w:r>
      <w:proofErr w:type="spellEnd"/>
      <w:r w:rsidRPr="00C211DC">
        <w:rPr>
          <w:rFonts w:asciiTheme="minorBidi" w:hAnsiTheme="minorBidi" w:cstheme="minorBidi"/>
          <w:color w:val="222222"/>
          <w:sz w:val="20"/>
          <w:szCs w:val="20"/>
          <w:shd w:val="clear" w:color="auto" w:fill="FFFFFF"/>
        </w:rPr>
        <w:t>-nicotinamide induced diabetic rats.</w:t>
      </w:r>
      <w:r w:rsidRPr="00C211DC">
        <w:rPr>
          <w:rFonts w:asciiTheme="minorBidi" w:hAnsiTheme="minorBidi" w:cstheme="minorBidi"/>
          <w:b/>
          <w:bCs/>
          <w:sz w:val="20"/>
          <w:szCs w:val="20"/>
        </w:rPr>
        <w:t xml:space="preserve"> Scientific Report, (</w:t>
      </w:r>
      <w:hyperlink r:id="rId9" w:anchor="article-info" w:history="1">
        <w:r w:rsidRPr="00C211DC">
          <w:rPr>
            <w:rStyle w:val="Hyperlink"/>
            <w:rFonts w:asciiTheme="minorBidi" w:hAnsiTheme="minorBidi" w:cstheme="minorBidi"/>
            <w:color w:val="006699"/>
            <w:spacing w:val="3"/>
            <w:sz w:val="20"/>
            <w:szCs w:val="20"/>
            <w:shd w:val="clear" w:color="auto" w:fill="FFFFFF"/>
          </w:rPr>
          <w:t> 29 June 2018</w:t>
        </w:r>
      </w:hyperlink>
      <w:r w:rsidRPr="00C211DC">
        <w:rPr>
          <w:rFonts w:asciiTheme="minorBidi" w:hAnsiTheme="minorBidi" w:cstheme="minorBidi"/>
          <w:b/>
          <w:bCs/>
          <w:sz w:val="20"/>
          <w:szCs w:val="20"/>
        </w:rPr>
        <w:t xml:space="preserve"> )</w:t>
      </w:r>
      <w:r w:rsidRPr="00C211DC">
        <w:rPr>
          <w:rStyle w:val="strong"/>
          <w:rFonts w:asciiTheme="minorBidi" w:hAnsiTheme="minorBidi" w:cstheme="minorBidi"/>
          <w:b/>
          <w:bCs/>
          <w:color w:val="222222"/>
          <w:spacing w:val="3"/>
          <w:sz w:val="20"/>
          <w:szCs w:val="20"/>
          <w:shd w:val="clear" w:color="auto" w:fill="FFFFFF"/>
        </w:rPr>
        <w:t xml:space="preserve"> 8 (1)</w:t>
      </w:r>
      <w:r w:rsidRPr="00C211DC">
        <w:rPr>
          <w:rFonts w:asciiTheme="minorBidi" w:hAnsiTheme="minorBidi" w:cstheme="minorBidi"/>
          <w:color w:val="222222"/>
          <w:spacing w:val="3"/>
          <w:sz w:val="20"/>
          <w:szCs w:val="20"/>
          <w:shd w:val="clear" w:color="auto" w:fill="FFFFFF"/>
        </w:rPr>
        <w:t>: 9827,</w:t>
      </w:r>
      <w:r w:rsidRPr="00C211DC">
        <w:rPr>
          <w:rFonts w:asciiTheme="minorBidi" w:hAnsiTheme="minorBidi" w:cstheme="minorBidi"/>
          <w:b/>
          <w:bCs/>
          <w:sz w:val="20"/>
          <w:szCs w:val="20"/>
        </w:rPr>
        <w:t xml:space="preserve"> 10.1038/s41598-018-28029-1 (Nature, IF.4.8).</w:t>
      </w:r>
    </w:p>
    <w:p w:rsidR="00B323A8" w:rsidRPr="00C211DC" w:rsidRDefault="00B323A8" w:rsidP="00B323A8">
      <w:pPr>
        <w:widowControl/>
        <w:numPr>
          <w:ilvl w:val="0"/>
          <w:numId w:val="4"/>
        </w:numPr>
        <w:jc w:val="both"/>
        <w:rPr>
          <w:rFonts w:asciiTheme="minorBidi" w:hAnsiTheme="minorBidi" w:cstheme="minorBidi"/>
          <w:b/>
          <w:bCs/>
          <w:sz w:val="20"/>
          <w:szCs w:val="20"/>
        </w:rPr>
      </w:pPr>
      <w:r w:rsidRPr="00C211DC">
        <w:rPr>
          <w:rFonts w:asciiTheme="minorBidi" w:hAnsiTheme="minorBidi" w:cstheme="minorBidi"/>
          <w:b/>
          <w:bCs/>
          <w:sz w:val="20"/>
          <w:szCs w:val="20"/>
        </w:rPr>
        <w:t xml:space="preserve">Alaaeldin Ahmed Hamza, </w:t>
      </w:r>
      <w:r w:rsidRPr="00C211DC">
        <w:rPr>
          <w:rFonts w:asciiTheme="minorBidi" w:hAnsiTheme="minorBidi" w:cstheme="minorBidi"/>
          <w:sz w:val="20"/>
          <w:szCs w:val="20"/>
        </w:rPr>
        <w:t xml:space="preserve">Mona </w:t>
      </w:r>
      <w:proofErr w:type="spellStart"/>
      <w:r w:rsidRPr="00C211DC">
        <w:rPr>
          <w:rFonts w:asciiTheme="minorBidi" w:hAnsiTheme="minorBidi" w:cstheme="minorBidi"/>
          <w:sz w:val="20"/>
          <w:szCs w:val="20"/>
        </w:rPr>
        <w:t>Gamel</w:t>
      </w:r>
      <w:proofErr w:type="spellEnd"/>
      <w:r w:rsidRPr="00C211DC">
        <w:rPr>
          <w:rFonts w:asciiTheme="minorBidi" w:hAnsiTheme="minorBidi" w:cstheme="minorBidi"/>
          <w:sz w:val="20"/>
          <w:szCs w:val="20"/>
        </w:rPr>
        <w:t xml:space="preserve"> Mohamed, </w:t>
      </w:r>
      <w:proofErr w:type="spellStart"/>
      <w:r w:rsidRPr="00C211DC">
        <w:rPr>
          <w:rFonts w:asciiTheme="minorBidi" w:hAnsiTheme="minorBidi" w:cstheme="minorBidi"/>
          <w:sz w:val="20"/>
          <w:szCs w:val="20"/>
        </w:rPr>
        <w:t>Fawzy</w:t>
      </w:r>
      <w:proofErr w:type="spellEnd"/>
      <w:r w:rsidRPr="00C211DC">
        <w:rPr>
          <w:rFonts w:asciiTheme="minorBidi" w:hAnsiTheme="minorBidi" w:cstheme="minorBidi"/>
          <w:sz w:val="20"/>
          <w:szCs w:val="20"/>
        </w:rPr>
        <w:t xml:space="preserve"> Mohamed </w:t>
      </w:r>
      <w:proofErr w:type="spellStart"/>
      <w:r w:rsidRPr="00C211DC">
        <w:rPr>
          <w:rFonts w:asciiTheme="minorBidi" w:hAnsiTheme="minorBidi" w:cstheme="minorBidi"/>
          <w:sz w:val="20"/>
          <w:szCs w:val="20"/>
        </w:rPr>
        <w:t>Lashin</w:t>
      </w:r>
      <w:proofErr w:type="spellEnd"/>
      <w:r w:rsidRPr="00C211DC">
        <w:rPr>
          <w:rFonts w:asciiTheme="minorBidi" w:hAnsiTheme="minorBidi" w:cstheme="minorBidi"/>
          <w:sz w:val="20"/>
          <w:szCs w:val="20"/>
        </w:rPr>
        <w:t xml:space="preserve"> and Amr Amin. Dandelion prevents liver fibrosis, inflammatory response, and oxidative stress in rats. The Journal of Basic and Applied Zoology (2020) 81:43 </w:t>
      </w:r>
      <w:hyperlink r:id="rId10" w:tgtFrame="_blank" w:history="1">
        <w:r w:rsidRPr="00C211DC">
          <w:rPr>
            <w:rFonts w:asciiTheme="minorBidi" w:hAnsiTheme="minorBidi" w:cstheme="minorBidi"/>
            <w:sz w:val="20"/>
            <w:szCs w:val="20"/>
          </w:rPr>
          <w:t>https://doi.org/10.1186/s41936-020-00177-9</w:t>
        </w:r>
      </w:hyperlink>
      <w:r w:rsidRPr="00C211DC">
        <w:rPr>
          <w:rFonts w:asciiTheme="minorBidi" w:hAnsiTheme="minorBidi" w:cstheme="minorBidi"/>
          <w:b/>
          <w:bCs/>
          <w:sz w:val="20"/>
          <w:szCs w:val="20"/>
        </w:rPr>
        <w:t xml:space="preserve">. </w:t>
      </w:r>
    </w:p>
    <w:p w:rsidR="00B323A8" w:rsidRPr="00C211DC" w:rsidRDefault="00B323A8" w:rsidP="00B323A8">
      <w:pPr>
        <w:widowControl/>
        <w:numPr>
          <w:ilvl w:val="0"/>
          <w:numId w:val="4"/>
        </w:numPr>
        <w:jc w:val="both"/>
        <w:rPr>
          <w:rFonts w:asciiTheme="minorBidi" w:hAnsiTheme="minorBidi" w:cstheme="minorBidi"/>
          <w:sz w:val="20"/>
          <w:szCs w:val="20"/>
        </w:rPr>
      </w:pPr>
      <w:r w:rsidRPr="00C211DC">
        <w:rPr>
          <w:rFonts w:asciiTheme="minorBidi" w:hAnsiTheme="minorBidi" w:cstheme="minorBidi"/>
          <w:b/>
          <w:bCs/>
          <w:sz w:val="20"/>
          <w:szCs w:val="20"/>
        </w:rPr>
        <w:t>Alaaeldin Ahmed Hamza</w:t>
      </w:r>
      <w:r w:rsidRPr="00C211DC">
        <w:rPr>
          <w:rFonts w:asciiTheme="minorBidi" w:hAnsiTheme="minorBidi" w:cstheme="minorBidi"/>
          <w:sz w:val="20"/>
          <w:szCs w:val="20"/>
        </w:rPr>
        <w:t xml:space="preserve">, </w:t>
      </w:r>
      <w:proofErr w:type="spellStart"/>
      <w:r w:rsidRPr="00C211DC">
        <w:rPr>
          <w:rFonts w:asciiTheme="minorBidi" w:hAnsiTheme="minorBidi" w:cstheme="minorBidi"/>
          <w:sz w:val="20"/>
          <w:szCs w:val="20"/>
        </w:rPr>
        <w:t>Fawzy</w:t>
      </w:r>
      <w:proofErr w:type="spellEnd"/>
      <w:r w:rsidRPr="00C211DC">
        <w:rPr>
          <w:rFonts w:asciiTheme="minorBidi" w:hAnsiTheme="minorBidi" w:cstheme="minorBidi"/>
          <w:sz w:val="20"/>
          <w:szCs w:val="20"/>
        </w:rPr>
        <w:t xml:space="preserve"> Mohamed </w:t>
      </w:r>
      <w:proofErr w:type="spellStart"/>
      <w:r w:rsidRPr="00C211DC">
        <w:rPr>
          <w:rFonts w:asciiTheme="minorBidi" w:hAnsiTheme="minorBidi" w:cstheme="minorBidi"/>
          <w:sz w:val="20"/>
          <w:szCs w:val="20"/>
        </w:rPr>
        <w:t>Lashin</w:t>
      </w:r>
      <w:proofErr w:type="spellEnd"/>
      <w:r w:rsidRPr="00C211DC">
        <w:rPr>
          <w:rFonts w:asciiTheme="minorBidi" w:hAnsiTheme="minorBidi" w:cstheme="minorBidi"/>
          <w:sz w:val="20"/>
          <w:szCs w:val="20"/>
        </w:rPr>
        <w:t xml:space="preserve">, Mona </w:t>
      </w:r>
      <w:proofErr w:type="spellStart"/>
      <w:r w:rsidRPr="00C211DC">
        <w:rPr>
          <w:rFonts w:asciiTheme="minorBidi" w:hAnsiTheme="minorBidi" w:cstheme="minorBidi"/>
          <w:sz w:val="20"/>
          <w:szCs w:val="20"/>
        </w:rPr>
        <w:t>Gamel</w:t>
      </w:r>
      <w:proofErr w:type="spellEnd"/>
      <w:r w:rsidRPr="00C211DC">
        <w:rPr>
          <w:rFonts w:asciiTheme="minorBidi" w:hAnsiTheme="minorBidi" w:cstheme="minorBidi"/>
          <w:sz w:val="20"/>
          <w:szCs w:val="20"/>
        </w:rPr>
        <w:t xml:space="preserve">, </w:t>
      </w:r>
      <w:proofErr w:type="spellStart"/>
      <w:r w:rsidRPr="00C211DC">
        <w:rPr>
          <w:rFonts w:asciiTheme="minorBidi" w:hAnsiTheme="minorBidi" w:cstheme="minorBidi"/>
          <w:sz w:val="20"/>
          <w:szCs w:val="20"/>
        </w:rPr>
        <w:t>Soha</w:t>
      </w:r>
      <w:proofErr w:type="spellEnd"/>
      <w:r w:rsidRPr="00C211DC">
        <w:rPr>
          <w:rFonts w:asciiTheme="minorBidi" w:hAnsiTheme="minorBidi" w:cstheme="minorBidi"/>
          <w:sz w:val="20"/>
          <w:szCs w:val="20"/>
        </w:rPr>
        <w:t xml:space="preserve"> Osama </w:t>
      </w:r>
      <w:proofErr w:type="spellStart"/>
      <w:r w:rsidRPr="00C211DC">
        <w:rPr>
          <w:rFonts w:asciiTheme="minorBidi" w:hAnsiTheme="minorBidi" w:cstheme="minorBidi"/>
          <w:sz w:val="20"/>
          <w:szCs w:val="20"/>
        </w:rPr>
        <w:t>Hassanin</w:t>
      </w:r>
      <w:proofErr w:type="spellEnd"/>
      <w:r w:rsidRPr="00C211DC">
        <w:rPr>
          <w:rFonts w:asciiTheme="minorBidi" w:hAnsiTheme="minorBidi" w:cstheme="minorBidi"/>
          <w:sz w:val="20"/>
          <w:szCs w:val="20"/>
        </w:rPr>
        <w:t xml:space="preserve">, Youssef </w:t>
      </w:r>
      <w:proofErr w:type="spellStart"/>
      <w:proofErr w:type="gramStart"/>
      <w:r w:rsidRPr="00C211DC">
        <w:rPr>
          <w:rFonts w:asciiTheme="minorBidi" w:hAnsiTheme="minorBidi" w:cstheme="minorBidi"/>
          <w:sz w:val="20"/>
          <w:szCs w:val="20"/>
        </w:rPr>
        <w:t>Abdalla</w:t>
      </w:r>
      <w:proofErr w:type="spellEnd"/>
      <w:r w:rsidRPr="00C211DC">
        <w:rPr>
          <w:rFonts w:asciiTheme="minorBidi" w:hAnsiTheme="minorBidi" w:cstheme="minorBidi"/>
          <w:sz w:val="20"/>
          <w:szCs w:val="20"/>
        </w:rPr>
        <w:t xml:space="preserve">  and</w:t>
      </w:r>
      <w:proofErr w:type="gramEnd"/>
      <w:r w:rsidRPr="00C211DC">
        <w:rPr>
          <w:rFonts w:asciiTheme="minorBidi" w:hAnsiTheme="minorBidi" w:cstheme="minorBidi"/>
          <w:sz w:val="20"/>
          <w:szCs w:val="20"/>
        </w:rPr>
        <w:t xml:space="preserve"> Amr Amin. Hawthorn Herbal Preparation from </w:t>
      </w:r>
      <w:proofErr w:type="spellStart"/>
      <w:r w:rsidRPr="00C211DC">
        <w:rPr>
          <w:rFonts w:asciiTheme="minorBidi" w:hAnsiTheme="minorBidi" w:cstheme="minorBidi"/>
          <w:sz w:val="20"/>
          <w:szCs w:val="20"/>
        </w:rPr>
        <w:t>Crataegus</w:t>
      </w:r>
      <w:proofErr w:type="spellEnd"/>
      <w:r w:rsidRPr="00C211DC">
        <w:rPr>
          <w:rFonts w:asciiTheme="minorBidi" w:hAnsiTheme="minorBidi" w:cstheme="minorBidi"/>
          <w:sz w:val="20"/>
          <w:szCs w:val="20"/>
        </w:rPr>
        <w:t xml:space="preserve"> </w:t>
      </w:r>
      <w:proofErr w:type="spellStart"/>
      <w:r w:rsidRPr="00C211DC">
        <w:rPr>
          <w:rFonts w:asciiTheme="minorBidi" w:hAnsiTheme="minorBidi" w:cstheme="minorBidi"/>
          <w:sz w:val="20"/>
          <w:szCs w:val="20"/>
        </w:rPr>
        <w:t>oxyacantha</w:t>
      </w:r>
      <w:proofErr w:type="spellEnd"/>
      <w:r w:rsidRPr="00C211DC">
        <w:rPr>
          <w:rFonts w:asciiTheme="minorBidi" w:hAnsiTheme="minorBidi" w:cstheme="minorBidi"/>
          <w:sz w:val="20"/>
          <w:szCs w:val="20"/>
        </w:rPr>
        <w:t xml:space="preserve"> Attenuates In Vivo Carbon Tetrachloride -Induced Hepatic Fibrosis via Modulating Oxidative Stress and Inflammation. Antioxidants 2020, 9, 1173; doi</w:t>
      </w:r>
      <w:proofErr w:type="gramStart"/>
      <w:r w:rsidRPr="00C211DC">
        <w:rPr>
          <w:rFonts w:asciiTheme="minorBidi" w:hAnsiTheme="minorBidi" w:cstheme="minorBidi"/>
          <w:sz w:val="20"/>
          <w:szCs w:val="20"/>
        </w:rPr>
        <w:t>:10.3390</w:t>
      </w:r>
      <w:proofErr w:type="gramEnd"/>
      <w:r w:rsidRPr="00C211DC">
        <w:rPr>
          <w:rFonts w:asciiTheme="minorBidi" w:hAnsiTheme="minorBidi" w:cstheme="minorBidi"/>
          <w:sz w:val="20"/>
          <w:szCs w:val="20"/>
        </w:rPr>
        <w:t>/antiox9121173, (MDPI, IF.6.31).</w:t>
      </w:r>
    </w:p>
    <w:p w:rsidR="00B323A8" w:rsidRPr="00C211DC" w:rsidRDefault="00B323A8" w:rsidP="00B323A8">
      <w:pPr>
        <w:widowControl/>
        <w:numPr>
          <w:ilvl w:val="0"/>
          <w:numId w:val="4"/>
        </w:numPr>
        <w:jc w:val="both"/>
        <w:rPr>
          <w:sz w:val="16"/>
          <w:szCs w:val="16"/>
        </w:rPr>
      </w:pPr>
      <w:r w:rsidRPr="00C211DC">
        <w:rPr>
          <w:rFonts w:asciiTheme="minorBidi" w:hAnsiTheme="minorBidi" w:cstheme="minorBidi"/>
          <w:b/>
          <w:bCs/>
          <w:sz w:val="20"/>
          <w:szCs w:val="20"/>
        </w:rPr>
        <w:t>Alaaeldin Ahmed Hamza</w:t>
      </w:r>
      <w:r w:rsidRPr="00C211DC">
        <w:rPr>
          <w:rFonts w:asciiTheme="minorBidi" w:hAnsiTheme="minorBidi" w:cstheme="minorBidi"/>
          <w:sz w:val="20"/>
          <w:szCs w:val="20"/>
        </w:rPr>
        <w:t xml:space="preserve">; </w:t>
      </w:r>
      <w:proofErr w:type="spellStart"/>
      <w:r w:rsidRPr="00C211DC">
        <w:rPr>
          <w:rFonts w:asciiTheme="minorBidi" w:hAnsiTheme="minorBidi" w:cstheme="minorBidi"/>
          <w:sz w:val="20"/>
          <w:szCs w:val="20"/>
        </w:rPr>
        <w:t>Gehan</w:t>
      </w:r>
      <w:proofErr w:type="spellEnd"/>
      <w:r w:rsidRPr="00C211DC">
        <w:rPr>
          <w:rFonts w:asciiTheme="minorBidi" w:hAnsiTheme="minorBidi" w:cstheme="minorBidi"/>
          <w:sz w:val="20"/>
          <w:szCs w:val="20"/>
        </w:rPr>
        <w:t xml:space="preserve"> Hussein </w:t>
      </w:r>
      <w:proofErr w:type="spellStart"/>
      <w:r w:rsidRPr="00C211DC">
        <w:rPr>
          <w:rFonts w:asciiTheme="minorBidi" w:hAnsiTheme="minorBidi" w:cstheme="minorBidi"/>
          <w:sz w:val="20"/>
          <w:szCs w:val="20"/>
        </w:rPr>
        <w:t>Heeba</w:t>
      </w:r>
      <w:proofErr w:type="spellEnd"/>
      <w:r w:rsidRPr="00C211DC">
        <w:rPr>
          <w:rFonts w:asciiTheme="minorBidi" w:hAnsiTheme="minorBidi" w:cstheme="minorBidi"/>
          <w:sz w:val="20"/>
          <w:szCs w:val="20"/>
        </w:rPr>
        <w:t xml:space="preserve">; </w:t>
      </w:r>
      <w:proofErr w:type="spellStart"/>
      <w:r w:rsidRPr="00C211DC">
        <w:rPr>
          <w:rFonts w:asciiTheme="minorBidi" w:hAnsiTheme="minorBidi" w:cstheme="minorBidi"/>
          <w:sz w:val="20"/>
          <w:szCs w:val="20"/>
        </w:rPr>
        <w:t>Salsabil</w:t>
      </w:r>
      <w:proofErr w:type="spellEnd"/>
      <w:r w:rsidRPr="00C211DC">
        <w:rPr>
          <w:rFonts w:asciiTheme="minorBidi" w:hAnsiTheme="minorBidi" w:cstheme="minorBidi"/>
          <w:sz w:val="20"/>
          <w:szCs w:val="20"/>
        </w:rPr>
        <w:t xml:space="preserve"> Hamza; Ali </w:t>
      </w:r>
      <w:proofErr w:type="spellStart"/>
      <w:r w:rsidRPr="00C211DC">
        <w:rPr>
          <w:rFonts w:asciiTheme="minorBidi" w:hAnsiTheme="minorBidi" w:cstheme="minorBidi"/>
          <w:sz w:val="20"/>
          <w:szCs w:val="20"/>
        </w:rPr>
        <w:t>Abdalla</w:t>
      </w:r>
      <w:proofErr w:type="spellEnd"/>
      <w:r w:rsidRPr="00C211DC">
        <w:rPr>
          <w:rFonts w:asciiTheme="minorBidi" w:hAnsiTheme="minorBidi" w:cstheme="minorBidi"/>
          <w:sz w:val="20"/>
          <w:szCs w:val="20"/>
        </w:rPr>
        <w:t xml:space="preserve">; Amr Amin. </w:t>
      </w:r>
      <w:hyperlink r:id="rId11" w:tgtFrame="_blank" w:history="1">
        <w:r w:rsidRPr="00C211DC">
          <w:rPr>
            <w:rFonts w:asciiTheme="minorBidi" w:hAnsiTheme="minorBidi" w:cstheme="minorBidi"/>
            <w:sz w:val="20"/>
            <w:szCs w:val="20"/>
          </w:rPr>
          <w:t xml:space="preserve">Standardized extract </w:t>
        </w:r>
        <w:r w:rsidRPr="00C211DC">
          <w:rPr>
            <w:rFonts w:asciiTheme="minorBidi" w:hAnsiTheme="minorBidi" w:cstheme="minorBidi"/>
            <w:sz w:val="20"/>
            <w:szCs w:val="20"/>
          </w:rPr>
          <w:lastRenderedPageBreak/>
          <w:t>of ginger ameliorates liver cancer by reducing proliferation and inducing apoptosis through inhibition oxidative stress/ inflammation pathway</w:t>
        </w:r>
      </w:hyperlink>
      <w:r w:rsidRPr="00C211DC">
        <w:rPr>
          <w:rFonts w:asciiTheme="minorBidi" w:hAnsiTheme="minorBidi" w:cstheme="minorBidi"/>
          <w:sz w:val="20"/>
          <w:szCs w:val="20"/>
        </w:rPr>
        <w:t xml:space="preserve">. </w:t>
      </w:r>
      <w:hyperlink r:id="rId12" w:history="1">
        <w:r w:rsidRPr="00C211DC">
          <w:rPr>
            <w:rFonts w:asciiTheme="minorBidi" w:hAnsiTheme="minorBidi" w:cstheme="minorBidi"/>
            <w:sz w:val="20"/>
            <w:szCs w:val="20"/>
          </w:rPr>
          <w:t>Biomedicine and Pharmacotherapy</w:t>
        </w:r>
      </w:hyperlink>
      <w:r w:rsidRPr="00C211DC">
        <w:rPr>
          <w:rFonts w:asciiTheme="minorBidi" w:hAnsiTheme="minorBidi" w:cstheme="minorBidi"/>
          <w:sz w:val="20"/>
          <w:szCs w:val="20"/>
        </w:rPr>
        <w:t> </w:t>
      </w:r>
      <w:hyperlink r:id="rId13" w:tooltip="Go to table of contents for this volume/issue" w:history="1">
        <w:r w:rsidRPr="00C211DC">
          <w:rPr>
            <w:rFonts w:asciiTheme="minorBidi" w:hAnsiTheme="minorBidi" w:cstheme="minorBidi"/>
            <w:sz w:val="20"/>
            <w:szCs w:val="20"/>
          </w:rPr>
          <w:t>Volume</w:t>
        </w:r>
        <w:r w:rsidRPr="00C211DC">
          <w:rPr>
            <w:rFonts w:asciiTheme="minorBidi" w:hAnsiTheme="minorBidi" w:cstheme="minorBidi"/>
            <w:sz w:val="20"/>
            <w:szCs w:val="20"/>
          </w:rPr>
          <w:t xml:space="preserve"> </w:t>
        </w:r>
        <w:r w:rsidRPr="00C211DC">
          <w:rPr>
            <w:rFonts w:asciiTheme="minorBidi" w:hAnsiTheme="minorBidi" w:cstheme="minorBidi"/>
            <w:sz w:val="20"/>
            <w:szCs w:val="20"/>
          </w:rPr>
          <w:t>134</w:t>
        </w:r>
      </w:hyperlink>
      <w:r w:rsidRPr="00C211DC">
        <w:rPr>
          <w:rFonts w:asciiTheme="minorBidi" w:hAnsiTheme="minorBidi" w:cstheme="minorBidi"/>
          <w:sz w:val="20"/>
          <w:szCs w:val="20"/>
        </w:rPr>
        <w:t>, February2021DOI: </w:t>
      </w:r>
      <w:hyperlink r:id="rId14" w:tgtFrame="_blank" w:history="1">
        <w:r w:rsidRPr="00C211DC">
          <w:rPr>
            <w:rFonts w:asciiTheme="minorBidi" w:hAnsiTheme="minorBidi" w:cstheme="minorBidi"/>
            <w:sz w:val="20"/>
            <w:szCs w:val="20"/>
          </w:rPr>
          <w:t>10.1016/j.biopha.2020.111102</w:t>
        </w:r>
      </w:hyperlink>
      <w:r w:rsidRPr="00C211DC">
        <w:rPr>
          <w:sz w:val="16"/>
          <w:szCs w:val="16"/>
        </w:rPr>
        <w:t xml:space="preserve"> (IF 6.53).</w:t>
      </w:r>
      <w:r w:rsidRPr="00C211DC">
        <w:rPr>
          <w:rFonts w:ascii="Arial" w:hAnsi="Arial" w:cs="Arial"/>
          <w:color w:val="222222"/>
          <w:sz w:val="16"/>
          <w:szCs w:val="16"/>
          <w:shd w:val="clear" w:color="auto" w:fill="FFFFFF"/>
        </w:rPr>
        <w:t xml:space="preserve"> </w:t>
      </w:r>
    </w:p>
    <w:p w:rsidR="00B323A8" w:rsidRPr="00C211DC" w:rsidRDefault="00B323A8" w:rsidP="00B323A8">
      <w:pPr>
        <w:ind w:left="643"/>
        <w:jc w:val="both"/>
        <w:rPr>
          <w:b/>
          <w:bCs/>
          <w:sz w:val="16"/>
          <w:szCs w:val="16"/>
        </w:rPr>
      </w:pPr>
      <w:r w:rsidRPr="00C211DC">
        <w:rPr>
          <w:b/>
          <w:bCs/>
          <w:sz w:val="16"/>
          <w:szCs w:val="16"/>
        </w:rPr>
        <w:tab/>
      </w:r>
    </w:p>
    <w:p w:rsidR="00AE3E37" w:rsidRPr="00B323A8" w:rsidRDefault="00AE3E37" w:rsidP="008756E6">
      <w:pPr>
        <w:tabs>
          <w:tab w:val="left" w:pos="384"/>
        </w:tabs>
        <w:ind w:right="117"/>
        <w:rPr>
          <w:sz w:val="18"/>
          <w:szCs w:val="18"/>
        </w:rPr>
      </w:pPr>
    </w:p>
    <w:p w:rsidR="00AE3E37" w:rsidRDefault="00C211DC">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BA6DCA3" wp14:editId="1B6B0354">
                <wp:simplePos x="0" y="0"/>
                <wp:positionH relativeFrom="column">
                  <wp:posOffset>2402205</wp:posOffset>
                </wp:positionH>
                <wp:positionV relativeFrom="paragraph">
                  <wp:posOffset>192405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w:t>
                            </w:r>
                            <w:bookmarkStart w:id="0" w:name="_GoBack"/>
                            <w:bookmarkEnd w:id="0"/>
                            <w:r>
                              <w:rPr>
                                <w:b/>
                                <w:color w:val="0000FF"/>
                                <w:lang w:val="en-IN"/>
                              </w:rPr>
                              <w:t>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left:0;text-align:left;margin-left:189.15pt;margin-top:15.15pt;width:79.7pt;height:4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" strokecolor="#9bbb59" strokeweight="2.5pt">
                <v:shadow color="#868686"/>
                <v:textbox>
                  <w:txbxContent>
                    <w:p w:rsidR="00A52075" w:rsidRDefault="00A52075" w:rsidP="00A52075">
                      <w:pPr>
                        <w:rPr>
                          <w:b/>
                          <w:color w:val="0000FF"/>
                          <w:lang w:val="en-IN"/>
                        </w:rPr>
                      </w:pPr>
                      <w:r>
                        <w:rPr>
                          <w:b/>
                          <w:color w:val="0000FF"/>
                          <w:lang w:val="en-IN"/>
                        </w:rPr>
                        <w:t>Paste your Log</w:t>
                      </w:r>
                      <w:bookmarkStart w:id="1" w:name="_GoBack"/>
                      <w:bookmarkEnd w:id="1"/>
                      <w:r>
                        <w:rPr>
                          <w:b/>
                          <w:color w:val="0000FF"/>
                          <w:lang w:val="en-IN"/>
                        </w:rPr>
                        <w:t>o here</w:t>
                      </w:r>
                    </w:p>
                  </w:txbxContent>
                </v:textbox>
              </v:roundrect>
            </w:pict>
          </mc:Fallback>
        </mc:AlternateContent>
      </w:r>
      <w:r w:rsidR="008756E6" w:rsidRPr="00B323A8">
        <w:rPr>
          <w:rFonts w:ascii="Calibri" w:hAnsi="Calibri"/>
          <w:sz w:val="18"/>
          <w:szCs w:val="18"/>
        </w:rPr>
        <w:t xml:space="preserve">   </w:t>
      </w:r>
    </w:p>
    <w:p w:rsidR="00AE3E37" w:rsidRDefault="00C84402" w:rsidP="00C84402">
      <w:pPr>
        <w:pStyle w:val="BodyText"/>
        <w:tabs>
          <w:tab w:val="left" w:pos="4464"/>
        </w:tabs>
        <w:rPr>
          <w:rFonts w:ascii="Calibri"/>
          <w:sz w:val="20"/>
        </w:rPr>
      </w:pPr>
      <w:r>
        <w:rPr>
          <w:rFonts w:ascii="Calibri"/>
          <w:sz w:val="20"/>
        </w:rPr>
        <w:tab/>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435A4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C211DC" w:rsidRDefault="008756E6" w:rsidP="00C211DC">
      <w:pPr>
        <w:spacing w:before="92"/>
        <w:ind w:right="4234"/>
        <w:rPr>
          <w:rFonts w:ascii="Times New Roman" w:hAnsi="Times New Roman" w:cs="Times New Roman"/>
          <w:sz w:val="24"/>
          <w:szCs w:val="24"/>
        </w:rPr>
      </w:pPr>
      <w:r>
        <w:rPr>
          <w:noProof/>
        </w:rPr>
        <w:t xml:space="preserve">              </w:t>
      </w:r>
      <w:r w:rsidR="00B323A8">
        <w:rPr>
          <w:rFonts w:ascii="Arial"/>
          <w:noProof/>
          <w:color w:val="BF5A14"/>
        </w:rPr>
        <w:drawing>
          <wp:inline distT="0" distB="0" distL="0" distR="0">
            <wp:extent cx="289560" cy="289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aa Hamza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9643" cy="289643"/>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52075" w:rsidP="00C211DC">
      <w:pPr>
        <w:spacing w:before="92"/>
        <w:ind w:right="4234"/>
        <w:rPr>
          <w:rFonts w:ascii="Arial"/>
        </w:rPr>
      </w:pPr>
      <w:r w:rsidRPr="00A52075">
        <w:rPr>
          <w:rFonts w:ascii="Times New Roman" w:hAnsi="Times New Roman" w:cs="Times New Roman"/>
          <w:sz w:val="24"/>
          <w:szCs w:val="24"/>
        </w:rPr>
        <w:t xml:space="preserve"> </w:t>
      </w:r>
      <w:r w:rsidR="00C211DC" w:rsidRPr="00C93596">
        <w:rPr>
          <w:rFonts w:ascii="Arial"/>
          <w:sz w:val="14"/>
        </w:rPr>
        <w:t xml:space="preserve">Dr. Alaaeldin Ahmed Hamza, earned his PhD from Cairo University in Animal Physiology, is currently working as professor of Physiology in the National Organization for Drug Control and Research (NODCAR) Egypt. He is established scientist in the areas of liver toxicity, reproductive toxicity and liver cancer. For his highly cited publications he has ranked as the top scientists in United Arab Emirates institutions according to GSC public profiles 2017 and among the top 2% of researchers in the world by Stanford University in 2020 and his ranking in toxicology was 524, in pharmacology was 454 and in Physiology (Clinical medicine) was 53247 He has published more than 45 papers in different fields of pharmacology in many prestigious journal such as Hepatology, Scientific Report, Toxicology Letters, Toxicology, Food and Chemical Toxicology, </w:t>
      </w:r>
      <w:proofErr w:type="spellStart"/>
      <w:r w:rsidR="00C211DC" w:rsidRPr="00C93596">
        <w:rPr>
          <w:rFonts w:ascii="Arial"/>
          <w:sz w:val="14"/>
        </w:rPr>
        <w:t>Andrologia</w:t>
      </w:r>
      <w:proofErr w:type="spellEnd"/>
      <w:r w:rsidR="00C211DC" w:rsidRPr="00C93596">
        <w:rPr>
          <w:rFonts w:ascii="Arial"/>
          <w:sz w:val="14"/>
        </w:rPr>
        <w:t xml:space="preserve">, </w:t>
      </w:r>
      <w:hyperlink r:id="rId16" w:tooltip="Go to Life Sciences on ScienceDirect" w:history="1">
        <w:r w:rsidR="00C211DC" w:rsidRPr="00C93596">
          <w:rPr>
            <w:rFonts w:ascii="Arial"/>
            <w:sz w:val="14"/>
          </w:rPr>
          <w:t>Life Sciences</w:t>
        </w:r>
      </w:hyperlink>
      <w:r w:rsidR="00C211DC" w:rsidRPr="00C93596">
        <w:rPr>
          <w:rFonts w:ascii="Arial"/>
          <w:sz w:val="14"/>
        </w:rPr>
        <w:t xml:space="preserve"> and Molecules. His current Scopus H-index is 24 and his total citations are 2520.</w:t>
      </w:r>
    </w:p>
    <w:p w:rsidR="00C211DC" w:rsidRDefault="00C211DC" w:rsidP="00C211DC">
      <w:pPr>
        <w:spacing w:before="62"/>
        <w:ind w:left="4217" w:right="4235"/>
        <w:jc w:val="center"/>
        <w:rPr>
          <w:rFonts w:ascii="Arial"/>
          <w:sz w:val="14"/>
        </w:rPr>
      </w:pPr>
    </w:p>
    <w:p w:rsidR="00C211DC" w:rsidRDefault="00C211DC" w:rsidP="00C211DC">
      <w:pPr>
        <w:spacing w:before="62"/>
        <w:ind w:left="4217" w:right="4235"/>
        <w:jc w:val="both"/>
        <w:rPr>
          <w:rFonts w:ascii="Arial"/>
          <w:sz w:val="14"/>
        </w:rPr>
      </w:pPr>
    </w:p>
    <w:p w:rsidR="00AE3E37" w:rsidRDefault="00A9710C" w:rsidP="00C211DC">
      <w:pPr>
        <w:spacing w:before="62"/>
        <w:ind w:left="4217" w:right="4235"/>
        <w:jc w:val="center"/>
        <w:rPr>
          <w:rFonts w:ascii="Arial"/>
          <w:sz w:val="14"/>
        </w:rPr>
      </w:pPr>
      <w:r>
        <w:rPr>
          <w:rFonts w:ascii="Arial"/>
          <w:sz w:val="14"/>
        </w:rPr>
        <w:t xml:space="preserve">Email: </w:t>
      </w:r>
      <w:hyperlink r:id="rId17" w:history="1">
        <w:r w:rsidR="00C211DC" w:rsidRPr="00326027">
          <w:rPr>
            <w:rStyle w:val="Hyperlink"/>
            <w:rFonts w:ascii="Arial"/>
            <w:sz w:val="14"/>
          </w:rPr>
          <w:t>alaa17mm@gmail.com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0E95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C211DC">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00C211DC">
        <w:rPr>
          <w:sz w:val="20"/>
          <w:szCs w:val="20"/>
          <w:lang w:val="en-NZ"/>
        </w:rPr>
        <w:t xml:space="preserve">Alaaeldin </w:t>
      </w:r>
      <w:proofErr w:type="spellStart"/>
      <w:r w:rsidR="00C211DC">
        <w:rPr>
          <w:sz w:val="20"/>
          <w:szCs w:val="20"/>
          <w:lang w:val="en-NZ"/>
        </w:rPr>
        <w:t>A.Hamza</w:t>
      </w:r>
      <w:proofErr w:type="spellEnd"/>
      <w:r w:rsidRPr="00F35A62">
        <w:rPr>
          <w:sz w:val="20"/>
          <w:szCs w:val="20"/>
          <w:lang w:val="en-NZ"/>
        </w:rPr>
        <w:t xml:space="preserve"> </w:t>
      </w:r>
      <w:r w:rsidRPr="00F35A62">
        <w:rPr>
          <w:sz w:val="20"/>
          <w:szCs w:val="20"/>
          <w:lang w:val="en-NZ"/>
        </w:rPr>
        <w:br/>
        <w:t>Contact number:</w:t>
      </w:r>
      <w:r w:rsidR="00C211DC" w:rsidRPr="00C211DC">
        <w:rPr>
          <w:sz w:val="23"/>
          <w:szCs w:val="23"/>
        </w:rPr>
        <w:t xml:space="preserve"> </w:t>
      </w:r>
      <w:r w:rsidR="00C211DC" w:rsidRPr="00451942">
        <w:rPr>
          <w:sz w:val="23"/>
          <w:szCs w:val="23"/>
        </w:rPr>
        <w:t>(+002) 1110635264</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F35A62" w:rsidRDefault="00EA7D51" w:rsidP="00C211DC">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DFF" w:rsidRDefault="00C94DFF">
      <w:r>
        <w:separator/>
      </w:r>
    </w:p>
  </w:endnote>
  <w:endnote w:type="continuationSeparator" w:id="0">
    <w:p w:rsidR="00C94DFF" w:rsidRDefault="00C94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DFF" w:rsidRDefault="00C94DFF">
      <w:r>
        <w:separator/>
      </w:r>
    </w:p>
  </w:footnote>
  <w:footnote w:type="continuationSeparator" w:id="0">
    <w:p w:rsidR="00C94DFF" w:rsidRDefault="00C94D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7A93ED0"/>
    <w:multiLevelType w:val="hybridMultilevel"/>
    <w:tmpl w:val="3E48E21E"/>
    <w:lvl w:ilvl="0" w:tplc="6E06507A">
      <w:start w:val="1"/>
      <w:numFmt w:val="decimal"/>
      <w:lvlText w:val="%1."/>
      <w:lvlJc w:val="left"/>
      <w:pPr>
        <w:tabs>
          <w:tab w:val="num" w:pos="643"/>
        </w:tabs>
        <w:ind w:left="643" w:right="990" w:hanging="360"/>
      </w:pPr>
      <w:rPr>
        <w:rFonts w:hint="default"/>
        <w:b w:val="0"/>
        <w:bCs w:val="0"/>
      </w:rPr>
    </w:lvl>
    <w:lvl w:ilvl="1" w:tplc="04010003" w:tentative="1">
      <w:start w:val="1"/>
      <w:numFmt w:val="bullet"/>
      <w:lvlText w:val="o"/>
      <w:lvlJc w:val="left"/>
      <w:pPr>
        <w:tabs>
          <w:tab w:val="num" w:pos="1710"/>
        </w:tabs>
        <w:ind w:left="1710" w:right="1710" w:hanging="360"/>
      </w:pPr>
      <w:rPr>
        <w:rFonts w:ascii="Courier New" w:hAnsi="Courier New" w:hint="default"/>
      </w:rPr>
    </w:lvl>
    <w:lvl w:ilvl="2" w:tplc="04010005" w:tentative="1">
      <w:start w:val="1"/>
      <w:numFmt w:val="bullet"/>
      <w:lvlText w:val=""/>
      <w:lvlJc w:val="left"/>
      <w:pPr>
        <w:tabs>
          <w:tab w:val="num" w:pos="2430"/>
        </w:tabs>
        <w:ind w:left="2430" w:right="2430" w:hanging="360"/>
      </w:pPr>
      <w:rPr>
        <w:rFonts w:ascii="Wingdings" w:hAnsi="Wingdings" w:hint="default"/>
      </w:rPr>
    </w:lvl>
    <w:lvl w:ilvl="3" w:tplc="04010001" w:tentative="1">
      <w:start w:val="1"/>
      <w:numFmt w:val="bullet"/>
      <w:lvlText w:val=""/>
      <w:lvlJc w:val="left"/>
      <w:pPr>
        <w:tabs>
          <w:tab w:val="num" w:pos="3150"/>
        </w:tabs>
        <w:ind w:left="3150" w:right="3150" w:hanging="360"/>
      </w:pPr>
      <w:rPr>
        <w:rFonts w:ascii="Symbol" w:hAnsi="Symbol" w:hint="default"/>
      </w:rPr>
    </w:lvl>
    <w:lvl w:ilvl="4" w:tplc="04010003" w:tentative="1">
      <w:start w:val="1"/>
      <w:numFmt w:val="bullet"/>
      <w:lvlText w:val="o"/>
      <w:lvlJc w:val="left"/>
      <w:pPr>
        <w:tabs>
          <w:tab w:val="num" w:pos="3870"/>
        </w:tabs>
        <w:ind w:left="3870" w:right="3870" w:hanging="360"/>
      </w:pPr>
      <w:rPr>
        <w:rFonts w:ascii="Courier New" w:hAnsi="Courier New" w:hint="default"/>
      </w:rPr>
    </w:lvl>
    <w:lvl w:ilvl="5" w:tplc="04010005" w:tentative="1">
      <w:start w:val="1"/>
      <w:numFmt w:val="bullet"/>
      <w:lvlText w:val=""/>
      <w:lvlJc w:val="left"/>
      <w:pPr>
        <w:tabs>
          <w:tab w:val="num" w:pos="4590"/>
        </w:tabs>
        <w:ind w:left="4590" w:right="4590" w:hanging="360"/>
      </w:pPr>
      <w:rPr>
        <w:rFonts w:ascii="Wingdings" w:hAnsi="Wingdings" w:hint="default"/>
      </w:rPr>
    </w:lvl>
    <w:lvl w:ilvl="6" w:tplc="04010001" w:tentative="1">
      <w:start w:val="1"/>
      <w:numFmt w:val="bullet"/>
      <w:lvlText w:val=""/>
      <w:lvlJc w:val="left"/>
      <w:pPr>
        <w:tabs>
          <w:tab w:val="num" w:pos="5310"/>
        </w:tabs>
        <w:ind w:left="5310" w:right="5310" w:hanging="360"/>
      </w:pPr>
      <w:rPr>
        <w:rFonts w:ascii="Symbol" w:hAnsi="Symbol" w:hint="default"/>
      </w:rPr>
    </w:lvl>
    <w:lvl w:ilvl="7" w:tplc="04010003" w:tentative="1">
      <w:start w:val="1"/>
      <w:numFmt w:val="bullet"/>
      <w:lvlText w:val="o"/>
      <w:lvlJc w:val="left"/>
      <w:pPr>
        <w:tabs>
          <w:tab w:val="num" w:pos="6030"/>
        </w:tabs>
        <w:ind w:left="6030" w:right="6030" w:hanging="360"/>
      </w:pPr>
      <w:rPr>
        <w:rFonts w:ascii="Courier New" w:hAnsi="Courier New" w:hint="default"/>
      </w:rPr>
    </w:lvl>
    <w:lvl w:ilvl="8" w:tplc="04010005" w:tentative="1">
      <w:start w:val="1"/>
      <w:numFmt w:val="bullet"/>
      <w:lvlText w:val=""/>
      <w:lvlJc w:val="left"/>
      <w:pPr>
        <w:tabs>
          <w:tab w:val="num" w:pos="6750"/>
        </w:tabs>
        <w:ind w:left="6750" w:right="675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2A2866"/>
    <w:rsid w:val="00324A92"/>
    <w:rsid w:val="00351D9B"/>
    <w:rsid w:val="00380299"/>
    <w:rsid w:val="00404E5B"/>
    <w:rsid w:val="00414F7B"/>
    <w:rsid w:val="004355DC"/>
    <w:rsid w:val="004749B4"/>
    <w:rsid w:val="00475D20"/>
    <w:rsid w:val="00494130"/>
    <w:rsid w:val="004B2587"/>
    <w:rsid w:val="004F3523"/>
    <w:rsid w:val="00522587"/>
    <w:rsid w:val="00590D60"/>
    <w:rsid w:val="005973B9"/>
    <w:rsid w:val="005B3A56"/>
    <w:rsid w:val="006060CE"/>
    <w:rsid w:val="00606E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323A8"/>
    <w:rsid w:val="00B805C0"/>
    <w:rsid w:val="00BE6743"/>
    <w:rsid w:val="00C211DC"/>
    <w:rsid w:val="00C33602"/>
    <w:rsid w:val="00C56C74"/>
    <w:rsid w:val="00C84402"/>
    <w:rsid w:val="00C94DFF"/>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2D1B28-D104-429E-A03F-8DD04843A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link w:val="TitleChar"/>
    <w:qFormat/>
    <w:rsid w:val="00C84402"/>
    <w:pPr>
      <w:widowControl/>
      <w:spacing w:before="240" w:after="60" w:line="480" w:lineRule="auto"/>
      <w:jc w:val="center"/>
      <w:outlineLvl w:val="0"/>
    </w:pPr>
    <w:rPr>
      <w:rFonts w:ascii="Arial" w:eastAsia="Times New Roman" w:hAnsi="Arial" w:cs="Arial"/>
      <w:b/>
      <w:bCs/>
      <w:kern w:val="28"/>
      <w:sz w:val="32"/>
      <w:szCs w:val="32"/>
    </w:rPr>
  </w:style>
  <w:style w:type="character" w:customStyle="1" w:styleId="TitleChar">
    <w:name w:val="Title Char"/>
    <w:basedOn w:val="DefaultParagraphFont"/>
    <w:link w:val="Title"/>
    <w:rsid w:val="00C84402"/>
    <w:rPr>
      <w:rFonts w:ascii="Arial" w:eastAsia="Times New Roman" w:hAnsi="Arial" w:cs="Arial"/>
      <w:b/>
      <w:bCs/>
      <w:kern w:val="28"/>
      <w:sz w:val="32"/>
      <w:szCs w:val="32"/>
    </w:rPr>
  </w:style>
  <w:style w:type="paragraph" w:customStyle="1" w:styleId="stylesal">
    <w:name w:val="style sal"/>
    <w:basedOn w:val="Normal"/>
    <w:link w:val="stylesalChar"/>
    <w:rsid w:val="00C84402"/>
    <w:pPr>
      <w:widowControl/>
      <w:spacing w:line="360" w:lineRule="auto"/>
      <w:ind w:firstLine="720"/>
      <w:jc w:val="lowKashida"/>
    </w:pPr>
    <w:rPr>
      <w:rFonts w:ascii="Times New Roman" w:eastAsia="Times New Roman" w:hAnsi="Times New Roman" w:cs="Times New Roman"/>
      <w:color w:val="000000"/>
      <w:kern w:val="28"/>
      <w:sz w:val="28"/>
      <w:szCs w:val="28"/>
      <w:lang w:eastAsia="ar-SA"/>
    </w:rPr>
  </w:style>
  <w:style w:type="character" w:customStyle="1" w:styleId="stylesalChar">
    <w:name w:val="style sal Char"/>
    <w:link w:val="stylesal"/>
    <w:rsid w:val="00C84402"/>
    <w:rPr>
      <w:rFonts w:ascii="Times New Roman" w:eastAsia="Times New Roman" w:hAnsi="Times New Roman" w:cs="Times New Roman"/>
      <w:color w:val="000000"/>
      <w:kern w:val="28"/>
      <w:sz w:val="28"/>
      <w:szCs w:val="28"/>
      <w:lang w:eastAsia="ar-SA"/>
    </w:rPr>
  </w:style>
  <w:style w:type="character" w:customStyle="1" w:styleId="strong">
    <w:name w:val="strong"/>
    <w:rsid w:val="00B32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www.sciencedirect.com/science/journal/07533322/134/supp/C"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x-mol.com/paper/journal/6084?r_detail=1339074194682929152" TargetMode="External"/><Relationship Id="rId17" Type="http://schemas.openxmlformats.org/officeDocument/2006/relationships/hyperlink" Target="mailto:alaa17mm@gmail.com" TargetMode="External"/><Relationship Id="rId2" Type="http://schemas.openxmlformats.org/officeDocument/2006/relationships/styles" Target="styles.xml"/><Relationship Id="rId16" Type="http://schemas.openxmlformats.org/officeDocument/2006/relationships/hyperlink" Target="http://www.sciencedirect.com/science/journal/002432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x-mol.com/paperRedirect/1339074194682929152"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doi.org/10.1186/s41936-020-00177-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ature.com/articles/s41598-018-28029-1" TargetMode="External"/><Relationship Id="rId14" Type="http://schemas.openxmlformats.org/officeDocument/2006/relationships/hyperlink" Target="https://www.x-mol.com/paperRedirect/13390741946829291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Alaaeldin Hamza</cp:lastModifiedBy>
  <cp:revision>12</cp:revision>
  <dcterms:created xsi:type="dcterms:W3CDTF">2021-11-26T09:13:00Z</dcterms:created>
  <dcterms:modified xsi:type="dcterms:W3CDTF">2021-12-31T10:50:00Z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